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C5" w:rsidRDefault="0012494E">
      <w:pPr>
        <w:spacing w:line="480" w:lineRule="auto"/>
        <w:jc w:val="center"/>
        <w:rPr>
          <w:rFonts w:ascii="宋体" w:hAnsi="宋体" w:cs="宋体"/>
          <w:b/>
          <w:bCs/>
          <w:sz w:val="44"/>
          <w:szCs w:val="44"/>
        </w:rPr>
      </w:pPr>
      <w:r>
        <w:rPr>
          <w:rFonts w:ascii="宋体" w:hAnsi="宋体" w:cs="宋体" w:hint="eastAsia"/>
          <w:b/>
          <w:bCs/>
          <w:sz w:val="44"/>
          <w:szCs w:val="44"/>
        </w:rPr>
        <w:t>关于</w:t>
      </w:r>
      <w:r w:rsidR="002E66BE">
        <w:rPr>
          <w:rFonts w:ascii="宋体" w:hAnsi="宋体" w:cs="宋体" w:hint="eastAsia"/>
          <w:b/>
          <w:bCs/>
          <w:sz w:val="44"/>
          <w:szCs w:val="44"/>
        </w:rPr>
        <w:t>福建省东南电化</w:t>
      </w:r>
      <w:r>
        <w:rPr>
          <w:rFonts w:ascii="宋体" w:hAnsi="宋体" w:cs="宋体" w:hint="eastAsia"/>
          <w:b/>
          <w:bCs/>
          <w:sz w:val="44"/>
          <w:szCs w:val="44"/>
        </w:rPr>
        <w:t>能耗在线监测</w:t>
      </w:r>
    </w:p>
    <w:p w:rsidR="00903BC5" w:rsidRDefault="0012494E">
      <w:pPr>
        <w:spacing w:line="480" w:lineRule="auto"/>
        <w:jc w:val="center"/>
        <w:rPr>
          <w:rFonts w:ascii="宋体" w:hAnsi="宋体" w:cs="宋体"/>
          <w:b/>
          <w:bCs/>
          <w:sz w:val="44"/>
          <w:szCs w:val="44"/>
        </w:rPr>
      </w:pPr>
      <w:r>
        <w:rPr>
          <w:rFonts w:ascii="宋体" w:hAnsi="宋体" w:cs="宋体" w:hint="eastAsia"/>
          <w:b/>
          <w:bCs/>
          <w:sz w:val="44"/>
          <w:szCs w:val="44"/>
        </w:rPr>
        <w:t>端系统建设招标情况说明</w:t>
      </w:r>
    </w:p>
    <w:p w:rsidR="00903BC5" w:rsidRDefault="0012494E">
      <w:pPr>
        <w:numPr>
          <w:ilvl w:val="0"/>
          <w:numId w:val="1"/>
        </w:numPr>
        <w:rPr>
          <w:rFonts w:ascii="黑体" w:eastAsia="黑体" w:hAnsi="黑体"/>
          <w:sz w:val="32"/>
          <w:szCs w:val="32"/>
        </w:rPr>
      </w:pPr>
      <w:r>
        <w:rPr>
          <w:rFonts w:ascii="黑体" w:eastAsia="黑体" w:hAnsi="黑体" w:hint="eastAsia"/>
          <w:sz w:val="32"/>
          <w:szCs w:val="32"/>
        </w:rPr>
        <w:t>项目情况</w:t>
      </w:r>
    </w:p>
    <w:p w:rsidR="00903BC5" w:rsidRDefault="0012494E">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应省经信委、省质监局要求（</w:t>
      </w:r>
      <w:proofErr w:type="gramStart"/>
      <w:r>
        <w:rPr>
          <w:rFonts w:ascii="仿宋" w:eastAsia="仿宋" w:hAnsi="仿宋" w:cs="仿宋" w:hint="eastAsia"/>
          <w:sz w:val="32"/>
          <w:szCs w:val="32"/>
        </w:rPr>
        <w:t>闽经信环</w:t>
      </w:r>
      <w:proofErr w:type="gramEnd"/>
      <w:r>
        <w:rPr>
          <w:rFonts w:ascii="仿宋" w:eastAsia="仿宋" w:hAnsi="仿宋" w:cs="仿宋" w:hint="eastAsia"/>
          <w:sz w:val="32"/>
          <w:szCs w:val="32"/>
        </w:rPr>
        <w:t>资〔2018〕103号），</w:t>
      </w:r>
      <w:r w:rsidR="002E66BE">
        <w:rPr>
          <w:rFonts w:ascii="仿宋" w:eastAsia="仿宋" w:hAnsi="仿宋" w:cs="仿宋" w:hint="eastAsia"/>
          <w:sz w:val="32"/>
          <w:szCs w:val="32"/>
        </w:rPr>
        <w:t>福建省东南电化</w:t>
      </w:r>
      <w:r>
        <w:rPr>
          <w:rFonts w:ascii="仿宋" w:eastAsia="仿宋" w:hAnsi="仿宋" w:cs="仿宋" w:hint="eastAsia"/>
          <w:sz w:val="32"/>
          <w:szCs w:val="32"/>
        </w:rPr>
        <w:t>有限公司须在2018年</w:t>
      </w:r>
      <w:r w:rsidR="002E66BE">
        <w:rPr>
          <w:rFonts w:ascii="仿宋" w:eastAsia="仿宋" w:hAnsi="仿宋" w:cs="仿宋" w:hint="eastAsia"/>
          <w:sz w:val="32"/>
          <w:szCs w:val="32"/>
        </w:rPr>
        <w:t>12</w:t>
      </w:r>
      <w:r>
        <w:rPr>
          <w:rFonts w:ascii="仿宋" w:eastAsia="仿宋" w:hAnsi="仿宋" w:cs="仿宋" w:hint="eastAsia"/>
          <w:sz w:val="32"/>
          <w:szCs w:val="32"/>
        </w:rPr>
        <w:t>月底完成能源消费总量数据的在线采集和实时监测。届时，</w:t>
      </w:r>
      <w:r w:rsidR="002E66BE">
        <w:rPr>
          <w:rFonts w:ascii="仿宋" w:eastAsia="仿宋" w:hAnsi="仿宋" w:cs="仿宋" w:hint="eastAsia"/>
          <w:sz w:val="32"/>
          <w:szCs w:val="32"/>
        </w:rPr>
        <w:t>福建省东南电化公司</w:t>
      </w:r>
      <w:r>
        <w:rPr>
          <w:rFonts w:ascii="仿宋" w:eastAsia="仿宋" w:hAnsi="仿宋" w:cs="仿宋" w:hint="eastAsia"/>
          <w:sz w:val="32"/>
          <w:szCs w:val="32"/>
        </w:rPr>
        <w:t>的能源消费总量（电力、</w:t>
      </w:r>
      <w:r w:rsidR="002E66BE">
        <w:rPr>
          <w:rFonts w:ascii="仿宋" w:eastAsia="仿宋" w:hAnsi="仿宋" w:cs="仿宋" w:hint="eastAsia"/>
          <w:sz w:val="32"/>
          <w:szCs w:val="32"/>
        </w:rPr>
        <w:t>原煤</w:t>
      </w:r>
      <w:r>
        <w:rPr>
          <w:rFonts w:ascii="仿宋" w:eastAsia="仿宋" w:hAnsi="仿宋" w:cs="仿宋" w:hint="eastAsia"/>
          <w:sz w:val="32"/>
          <w:szCs w:val="32"/>
        </w:rPr>
        <w:t>、</w:t>
      </w:r>
      <w:r w:rsidR="002E66BE">
        <w:rPr>
          <w:rFonts w:ascii="仿宋" w:eastAsia="仿宋" w:hAnsi="仿宋" w:cs="仿宋" w:hint="eastAsia"/>
          <w:sz w:val="32"/>
          <w:szCs w:val="32"/>
        </w:rPr>
        <w:t>水</w:t>
      </w:r>
      <w:r>
        <w:rPr>
          <w:rFonts w:ascii="仿宋" w:eastAsia="仿宋" w:hAnsi="仿宋" w:cs="仿宋" w:hint="eastAsia"/>
          <w:sz w:val="32"/>
          <w:szCs w:val="32"/>
        </w:rPr>
        <w:t>）应实现在线监</w:t>
      </w:r>
      <w:proofErr w:type="gramStart"/>
      <w:r>
        <w:rPr>
          <w:rFonts w:ascii="仿宋" w:eastAsia="仿宋" w:hAnsi="仿宋" w:cs="仿宋" w:hint="eastAsia"/>
          <w:sz w:val="32"/>
          <w:szCs w:val="32"/>
        </w:rPr>
        <w:t>测并能够</w:t>
      </w:r>
      <w:proofErr w:type="gramEnd"/>
      <w:r>
        <w:rPr>
          <w:rFonts w:ascii="仿宋" w:eastAsia="仿宋" w:hAnsi="仿宋" w:cs="仿宋" w:hint="eastAsia"/>
          <w:sz w:val="32"/>
          <w:szCs w:val="32"/>
        </w:rPr>
        <w:t>真实、准确、实时上传到省平台。</w:t>
      </w:r>
    </w:p>
    <w:p w:rsidR="00903BC5" w:rsidRDefault="0012494E">
      <w:pPr>
        <w:rPr>
          <w:rFonts w:ascii="黑体" w:eastAsia="黑体" w:hAnsi="黑体"/>
          <w:sz w:val="32"/>
          <w:szCs w:val="32"/>
        </w:rPr>
      </w:pPr>
      <w:r>
        <w:rPr>
          <w:rFonts w:ascii="黑体" w:eastAsia="黑体" w:hAnsi="黑体" w:hint="eastAsia"/>
          <w:sz w:val="32"/>
          <w:szCs w:val="32"/>
        </w:rPr>
        <w:t>二、技术要求</w:t>
      </w:r>
    </w:p>
    <w:p w:rsidR="00903BC5" w:rsidRDefault="0012494E">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1）从用户系统中（生产系统）读取所需的能源数据并要求用防火墙隔离,确保内部系统安全和数据安全。</w:t>
      </w:r>
    </w:p>
    <w:p w:rsidR="00903BC5" w:rsidRDefault="0012494E">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2）“2+1”能耗在线监测安全终端使用公安部认可的产品；</w:t>
      </w:r>
    </w:p>
    <w:p w:rsidR="00903BC5" w:rsidRDefault="0012494E">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3）把采集到端设备的能源消耗数据，严格按照本单位能耗在线监测技术规范对数据进行加密处理，由公司网络机柜通过互联网上传至省平台；</w:t>
      </w:r>
    </w:p>
    <w:p w:rsidR="00903BC5" w:rsidRDefault="0012494E">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4）电量采集：从MES系统(登陆经常出问题，但数据库没问题）的接口处采集；</w:t>
      </w:r>
    </w:p>
    <w:p w:rsidR="00903BC5" w:rsidRDefault="0012494E">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5）采用Windows10操作系统；</w:t>
      </w:r>
    </w:p>
    <w:p w:rsidR="00903BC5" w:rsidRDefault="0012494E">
      <w:pPr>
        <w:rPr>
          <w:rFonts w:ascii="黑体" w:eastAsia="黑体" w:hAnsi="黑体"/>
          <w:sz w:val="32"/>
          <w:szCs w:val="32"/>
        </w:rPr>
      </w:pPr>
      <w:r>
        <w:rPr>
          <w:rFonts w:ascii="黑体" w:eastAsia="黑体" w:hAnsi="黑体" w:hint="eastAsia"/>
          <w:sz w:val="32"/>
          <w:szCs w:val="32"/>
        </w:rPr>
        <w:t>三、软硬件要求（供货设备要得到公安部认可)</w:t>
      </w:r>
    </w:p>
    <w:p w:rsidR="00903BC5" w:rsidRDefault="0012494E">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结合企业端系统建设内容要求，能耗在线监测端设备作为放置于重点用能单位的负责数据传输与安全隔离的关键节点设备，系统软件功能要包括企业信息、能源监控、统计</w:t>
      </w:r>
      <w:r>
        <w:rPr>
          <w:rFonts w:ascii="仿宋" w:eastAsia="仿宋" w:hAnsi="仿宋" w:cs="仿宋" w:hint="eastAsia"/>
          <w:sz w:val="32"/>
          <w:szCs w:val="32"/>
        </w:rPr>
        <w:lastRenderedPageBreak/>
        <w:t>分析、能耗成本、能效报告、报警管理、设备管理、数据上传、能源报表等模块功能；硬件功能要求包括设备硬件配置、接口类型及数量、硬件防火墙 、供电电源和安装结构等内容，产品结构设计应遵循易安装、易维护、高可靠性的原则，可采用一体化结构。安全功能中，对外接口与生产系统网络隔离采用“2+1”物理隔离网闸的安全隔离方式，内网主机和外网主机通过安全隔离数据交互单元连接，确保生产网络安全，信息安全保护应符合相关标准。 具体要求如下：</w:t>
      </w:r>
    </w:p>
    <w:p w:rsidR="00903BC5" w:rsidRPr="002E66BE" w:rsidRDefault="0012494E">
      <w:pPr>
        <w:spacing w:line="480" w:lineRule="auto"/>
        <w:jc w:val="left"/>
        <w:rPr>
          <w:rFonts w:ascii="仿宋" w:eastAsia="仿宋" w:hAnsi="仿宋" w:cs="仿宋"/>
          <w:sz w:val="32"/>
          <w:szCs w:val="32"/>
        </w:rPr>
      </w:pPr>
      <w:r w:rsidRPr="002E66BE">
        <w:rPr>
          <w:rFonts w:ascii="仿宋" w:eastAsia="仿宋" w:hAnsi="仿宋" w:cs="仿宋" w:hint="eastAsia"/>
          <w:sz w:val="32"/>
          <w:szCs w:val="32"/>
        </w:rPr>
        <w:t xml:space="preserve">1.1 硬件配置 </w:t>
      </w:r>
    </w:p>
    <w:p w:rsidR="00903BC5" w:rsidRPr="002E66BE" w:rsidRDefault="0012494E">
      <w:pPr>
        <w:spacing w:line="480" w:lineRule="auto"/>
        <w:ind w:firstLineChars="200" w:firstLine="640"/>
        <w:jc w:val="left"/>
        <w:rPr>
          <w:rFonts w:ascii="仿宋" w:eastAsia="仿宋" w:hAnsi="仿宋" w:cs="仿宋"/>
          <w:sz w:val="32"/>
          <w:szCs w:val="32"/>
        </w:rPr>
      </w:pPr>
      <w:r w:rsidRPr="002E66BE">
        <w:rPr>
          <w:rFonts w:ascii="仿宋" w:eastAsia="仿宋" w:hAnsi="仿宋" w:cs="仿宋" w:hint="eastAsia"/>
          <w:sz w:val="32"/>
          <w:szCs w:val="32"/>
        </w:rPr>
        <w:t>隔离：独立双主机“2+1”（外网主机、内网主机+安全数据交换单元）架构，非IP物理隔离。 （公安部三所认证）</w:t>
      </w:r>
    </w:p>
    <w:p w:rsidR="00903BC5" w:rsidRPr="002E66BE" w:rsidRDefault="0012494E">
      <w:pPr>
        <w:spacing w:line="480" w:lineRule="auto"/>
        <w:jc w:val="left"/>
        <w:rPr>
          <w:rFonts w:ascii="仿宋" w:eastAsia="仿宋" w:hAnsi="仿宋" w:cs="仿宋"/>
          <w:sz w:val="32"/>
          <w:szCs w:val="32"/>
        </w:rPr>
      </w:pPr>
      <w:r w:rsidRPr="002E66BE">
        <w:rPr>
          <w:rFonts w:ascii="仿宋" w:eastAsia="仿宋" w:hAnsi="仿宋" w:cs="仿宋" w:hint="eastAsia"/>
          <w:sz w:val="32"/>
          <w:szCs w:val="32"/>
        </w:rPr>
        <w:t xml:space="preserve">1.2 接口类型及数量 </w:t>
      </w:r>
    </w:p>
    <w:p w:rsidR="00903BC5" w:rsidRPr="002E66BE" w:rsidRDefault="0012494E">
      <w:pPr>
        <w:spacing w:line="480" w:lineRule="auto"/>
        <w:jc w:val="left"/>
        <w:rPr>
          <w:rFonts w:ascii="仿宋" w:eastAsia="仿宋" w:hAnsi="仿宋" w:cs="仿宋"/>
          <w:sz w:val="32"/>
          <w:szCs w:val="32"/>
        </w:rPr>
      </w:pPr>
      <w:r w:rsidRPr="002E66BE">
        <w:rPr>
          <w:rFonts w:ascii="仿宋" w:eastAsia="仿宋" w:hAnsi="仿宋" w:cs="仿宋" w:hint="eastAsia"/>
          <w:sz w:val="32"/>
          <w:szCs w:val="32"/>
        </w:rPr>
        <w:t xml:space="preserve">1.2.1内网主机单元 </w:t>
      </w:r>
    </w:p>
    <w:p w:rsidR="00903BC5" w:rsidRPr="002E66BE" w:rsidRDefault="0012494E">
      <w:pPr>
        <w:spacing w:line="480" w:lineRule="auto"/>
        <w:ind w:firstLineChars="200" w:firstLine="640"/>
        <w:jc w:val="left"/>
        <w:rPr>
          <w:rFonts w:ascii="仿宋" w:eastAsia="仿宋" w:hAnsi="仿宋" w:cs="仿宋"/>
          <w:sz w:val="32"/>
          <w:szCs w:val="32"/>
        </w:rPr>
      </w:pPr>
      <w:r w:rsidRPr="002E66BE">
        <w:rPr>
          <w:rFonts w:ascii="仿宋" w:eastAsia="仿宋" w:hAnsi="仿宋" w:cs="仿宋" w:hint="eastAsia"/>
          <w:sz w:val="32"/>
          <w:szCs w:val="32"/>
        </w:rPr>
        <w:t xml:space="preserve">数据接入串口（RS232/RS485）至少2路，数据接入以太网接口至少2路。 </w:t>
      </w:r>
    </w:p>
    <w:p w:rsidR="00903BC5" w:rsidRPr="002E66BE" w:rsidRDefault="0012494E">
      <w:pPr>
        <w:spacing w:line="480" w:lineRule="auto"/>
        <w:jc w:val="left"/>
        <w:rPr>
          <w:rFonts w:ascii="仿宋" w:eastAsia="仿宋" w:hAnsi="仿宋" w:cs="仿宋"/>
          <w:sz w:val="32"/>
          <w:szCs w:val="32"/>
        </w:rPr>
      </w:pPr>
      <w:r w:rsidRPr="002E66BE">
        <w:rPr>
          <w:rFonts w:ascii="仿宋" w:eastAsia="仿宋" w:hAnsi="仿宋" w:cs="仿宋" w:hint="eastAsia"/>
          <w:sz w:val="32"/>
          <w:szCs w:val="32"/>
        </w:rPr>
        <w:t xml:space="preserve">1.2.2 外网主机单元 </w:t>
      </w:r>
    </w:p>
    <w:p w:rsidR="00903BC5" w:rsidRPr="002E66BE" w:rsidRDefault="0012494E">
      <w:pPr>
        <w:spacing w:line="480" w:lineRule="auto"/>
        <w:ind w:firstLineChars="200" w:firstLine="640"/>
        <w:jc w:val="left"/>
        <w:rPr>
          <w:rFonts w:ascii="仿宋" w:eastAsia="仿宋" w:hAnsi="仿宋" w:cs="仿宋"/>
          <w:sz w:val="32"/>
          <w:szCs w:val="32"/>
        </w:rPr>
      </w:pPr>
      <w:r w:rsidRPr="002E66BE">
        <w:rPr>
          <w:rFonts w:ascii="仿宋" w:eastAsia="仿宋" w:hAnsi="仿宋" w:cs="仿宋" w:hint="eastAsia"/>
          <w:sz w:val="32"/>
          <w:szCs w:val="32"/>
        </w:rPr>
        <w:t xml:space="preserve">数据发送以太网接口至少2路。 </w:t>
      </w:r>
    </w:p>
    <w:p w:rsidR="00903BC5" w:rsidRPr="002E66BE" w:rsidRDefault="0012494E">
      <w:pPr>
        <w:spacing w:line="480" w:lineRule="auto"/>
        <w:jc w:val="left"/>
        <w:rPr>
          <w:rFonts w:ascii="仿宋" w:eastAsia="仿宋" w:hAnsi="仿宋" w:cs="仿宋"/>
          <w:sz w:val="32"/>
          <w:szCs w:val="32"/>
        </w:rPr>
      </w:pPr>
      <w:r w:rsidRPr="002E66BE">
        <w:rPr>
          <w:rFonts w:ascii="仿宋" w:eastAsia="仿宋" w:hAnsi="仿宋" w:cs="仿宋" w:hint="eastAsia"/>
          <w:sz w:val="32"/>
          <w:szCs w:val="32"/>
        </w:rPr>
        <w:t xml:space="preserve">1.2.3 人机接口 </w:t>
      </w:r>
    </w:p>
    <w:p w:rsidR="00903BC5" w:rsidRPr="002E66BE" w:rsidRDefault="0012494E">
      <w:pPr>
        <w:spacing w:line="480" w:lineRule="auto"/>
        <w:ind w:firstLineChars="200" w:firstLine="640"/>
        <w:jc w:val="left"/>
        <w:rPr>
          <w:rFonts w:ascii="仿宋" w:eastAsia="仿宋" w:hAnsi="仿宋" w:cs="仿宋"/>
          <w:sz w:val="32"/>
          <w:szCs w:val="32"/>
        </w:rPr>
      </w:pPr>
      <w:r w:rsidRPr="002E66BE">
        <w:rPr>
          <w:rFonts w:ascii="仿宋" w:eastAsia="仿宋" w:hAnsi="仿宋" w:cs="仿宋" w:hint="eastAsia"/>
          <w:sz w:val="32"/>
          <w:szCs w:val="32"/>
        </w:rPr>
        <w:t xml:space="preserve">至少支持USB接口3个（含CA证书接口1个），具备VGA等视频接口1个。 </w:t>
      </w:r>
    </w:p>
    <w:p w:rsidR="00903BC5" w:rsidRDefault="00903BC5">
      <w:pPr>
        <w:spacing w:line="480" w:lineRule="auto"/>
        <w:jc w:val="left"/>
        <w:rPr>
          <w:rFonts w:ascii="仿宋" w:eastAsia="仿宋" w:hAnsi="仿宋" w:cs="仿宋"/>
          <w:color w:val="FF0000"/>
          <w:sz w:val="32"/>
          <w:szCs w:val="32"/>
        </w:rPr>
      </w:pP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1.4 安装结构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lastRenderedPageBreak/>
        <w:t xml:space="preserve">（1）模块化结构可动态裁剪或扩展；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（2）机箱结构设计符合标准19英寸机柜上架安装方式基本尺寸。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1.5 环境条件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能耗在线监测端设备的性能要求详见表1。 </w:t>
      </w:r>
    </w:p>
    <w:p w:rsidR="00903BC5" w:rsidRDefault="00BD059A">
      <w:pPr>
        <w:spacing w:line="480" w:lineRule="auto"/>
        <w:jc w:val="left"/>
        <w:rPr>
          <w:rFonts w:ascii="仿宋" w:eastAsia="仿宋" w:hAnsi="仿宋" w:cs="仿宋"/>
          <w:sz w:val="32"/>
          <w:szCs w:val="32"/>
        </w:rPr>
      </w:pPr>
      <w:r>
        <w:rPr>
          <w:rFonts w:ascii="仿宋" w:eastAsia="仿宋" w:hAnsi="仿宋" w:cs="仿宋"/>
          <w:noProof/>
          <w:sz w:val="32"/>
          <w:szCs w:val="32"/>
        </w:rPr>
        <w:drawing>
          <wp:inline distT="0" distB="0" distL="0" distR="0">
            <wp:extent cx="5229225" cy="21907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2190750"/>
                    </a:xfrm>
                    <a:prstGeom prst="rect">
                      <a:avLst/>
                    </a:prstGeom>
                    <a:noFill/>
                    <a:ln>
                      <a:noFill/>
                    </a:ln>
                  </pic:spPr>
                </pic:pic>
              </a:graphicData>
            </a:graphic>
          </wp:inline>
        </w:drawing>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2 软件功能要求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2.1基础数据处理、本地存储及数据上传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能耗在线监测端设备应具备基础数据处理、本地存储及数据上传等基本功能，相应软件应具备如下功能：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（1）数据统计转换：应依据业务需求，对数据进行统计，转换数据格式、类型及量纲，得到规范中要求的数据；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（2）数据汇总计算：应支持能耗数据汇</w:t>
      </w:r>
      <w:proofErr w:type="gramStart"/>
      <w:r>
        <w:rPr>
          <w:rFonts w:ascii="仿宋" w:eastAsia="仿宋" w:hAnsi="仿宋" w:cs="仿宋" w:hint="eastAsia"/>
          <w:color w:val="000000"/>
          <w:sz w:val="32"/>
          <w:szCs w:val="32"/>
        </w:rPr>
        <w:t>总计算</w:t>
      </w:r>
      <w:proofErr w:type="gramEnd"/>
      <w:r>
        <w:rPr>
          <w:rFonts w:ascii="仿宋" w:eastAsia="仿宋" w:hAnsi="仿宋" w:cs="仿宋" w:hint="eastAsia"/>
          <w:color w:val="000000"/>
          <w:sz w:val="32"/>
          <w:szCs w:val="32"/>
        </w:rPr>
        <w:t xml:space="preserve">功能，可将多项能耗数据合并成一个汇总的能耗数据。应至少支持数据累加、相减、乘除、积分等逻辑计算功能。具体包括但不限于如下几种运算规则：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a)利用加法原则，从多个支路汇总某项能耗数据；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lastRenderedPageBreak/>
        <w:t xml:space="preserve">b)利用减法原则，从总能耗中除去不相关支路数据得到某项能耗数据；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c)利用乘法原则，通过典型支路计算某项能耗数据。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（3）数据验证：应依据本系统制定的各行业数据采集技术指南的相关数据验证要求，对接入数据进行验证，判断能耗数据是否正确合理；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（4）数据存储：本地历史数据应存储6个月以上，并可以方便导出；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（5）数据展现：应依据实际应用需求，为重点用能单位提供能耗数据的查询、统计功能；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（6）数据上传：上传数据经过HTTPS协议加密传输。如果数据传输失败或超时（网络故障），能耗在线监测端设备将重发数据，直至接收成功反馈消息。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3 数据传输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3.1 多中心同步上传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能耗在线监测端设备应支持多中心上传功能，具备至少同时向两个以上数据中心发送数据的功能，能耗在线监测端设备数据上</w:t>
      </w:r>
      <w:proofErr w:type="gramStart"/>
      <w:r>
        <w:rPr>
          <w:rFonts w:ascii="仿宋" w:eastAsia="仿宋" w:hAnsi="仿宋" w:cs="仿宋" w:hint="eastAsia"/>
          <w:color w:val="000000"/>
          <w:sz w:val="32"/>
          <w:szCs w:val="32"/>
        </w:rPr>
        <w:t>传中心</w:t>
      </w:r>
      <w:proofErr w:type="gramEnd"/>
      <w:r>
        <w:rPr>
          <w:rFonts w:ascii="仿宋" w:eastAsia="仿宋" w:hAnsi="仿宋" w:cs="仿宋" w:hint="eastAsia"/>
          <w:color w:val="000000"/>
          <w:sz w:val="32"/>
          <w:szCs w:val="32"/>
        </w:rPr>
        <w:t xml:space="preserve">可在本地或远程配置。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3.2 上</w:t>
      </w:r>
      <w:proofErr w:type="gramStart"/>
      <w:r>
        <w:rPr>
          <w:rFonts w:ascii="仿宋" w:eastAsia="仿宋" w:hAnsi="仿宋" w:cs="仿宋" w:hint="eastAsia"/>
          <w:color w:val="000000"/>
          <w:sz w:val="32"/>
          <w:szCs w:val="32"/>
        </w:rPr>
        <w:t>传协议</w:t>
      </w:r>
      <w:proofErr w:type="gramEnd"/>
      <w:r>
        <w:rPr>
          <w:rFonts w:ascii="仿宋" w:eastAsia="仿宋" w:hAnsi="仿宋" w:cs="仿宋" w:hint="eastAsia"/>
          <w:color w:val="000000"/>
          <w:sz w:val="32"/>
          <w:szCs w:val="32"/>
        </w:rPr>
        <w:t xml:space="preserve">要求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能耗在线监测端设备数据上</w:t>
      </w:r>
      <w:proofErr w:type="gramStart"/>
      <w:r>
        <w:rPr>
          <w:rFonts w:ascii="仿宋" w:eastAsia="仿宋" w:hAnsi="仿宋" w:cs="仿宋" w:hint="eastAsia"/>
          <w:color w:val="000000"/>
          <w:sz w:val="32"/>
          <w:szCs w:val="32"/>
        </w:rPr>
        <w:t>传协议</w:t>
      </w:r>
      <w:proofErr w:type="gramEnd"/>
      <w:r>
        <w:rPr>
          <w:rFonts w:ascii="仿宋" w:eastAsia="仿宋" w:hAnsi="仿宋" w:cs="仿宋" w:hint="eastAsia"/>
          <w:color w:val="000000"/>
          <w:sz w:val="32"/>
          <w:szCs w:val="32"/>
        </w:rPr>
        <w:t xml:space="preserve">应符合《重点用能单位能耗在线监测系统端设备接口协议规范》要求，采用数据加密后，将数据上传到系统平台。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lastRenderedPageBreak/>
        <w:t xml:space="preserve">3.3 上传频率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能耗在线监测端设备采集上传的数据指标按照上传周期不同分为每日采集上传的数据指标和每月上传的数据指标。其中，每日采集上传的数据指标包括每日指标和实时指标两类，实时指标为每间隔15分钟采集一次的能源消耗实时数据，非人工填报数据均需上传实时指标（电量）。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3.4 上传时间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能耗在线监测端设备需具备设定能耗数据上</w:t>
      </w:r>
      <w:proofErr w:type="gramStart"/>
      <w:r>
        <w:rPr>
          <w:rFonts w:ascii="仿宋" w:eastAsia="仿宋" w:hAnsi="仿宋" w:cs="仿宋" w:hint="eastAsia"/>
          <w:color w:val="000000"/>
          <w:sz w:val="32"/>
          <w:szCs w:val="32"/>
        </w:rPr>
        <w:t>传时间</w:t>
      </w:r>
      <w:proofErr w:type="gramEnd"/>
      <w:r>
        <w:rPr>
          <w:rFonts w:ascii="仿宋" w:eastAsia="仿宋" w:hAnsi="仿宋" w:cs="仿宋" w:hint="eastAsia"/>
          <w:color w:val="000000"/>
          <w:sz w:val="32"/>
          <w:szCs w:val="32"/>
        </w:rPr>
        <w:t>的功能。端设备向平台注册后，可根据平台返回的数据上</w:t>
      </w:r>
      <w:proofErr w:type="gramStart"/>
      <w:r>
        <w:rPr>
          <w:rFonts w:ascii="仿宋" w:eastAsia="仿宋" w:hAnsi="仿宋" w:cs="仿宋" w:hint="eastAsia"/>
          <w:color w:val="000000"/>
          <w:sz w:val="32"/>
          <w:szCs w:val="32"/>
        </w:rPr>
        <w:t>传时间</w:t>
      </w:r>
      <w:proofErr w:type="gramEnd"/>
      <w:r>
        <w:rPr>
          <w:rFonts w:ascii="仿宋" w:eastAsia="仿宋" w:hAnsi="仿宋" w:cs="仿宋" w:hint="eastAsia"/>
          <w:color w:val="000000"/>
          <w:sz w:val="32"/>
          <w:szCs w:val="32"/>
        </w:rPr>
        <w:t xml:space="preserve">自动或手动进行设定。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3.5 数据重传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在网络异常情况下，能耗在线监测端设备应支持自动重新上传功能，通过多次数据重传，减少网络异常导致的数据丢失。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在较长时间的网络异常情况下，能耗在线监测端设备可在下一个数据上</w:t>
      </w:r>
      <w:proofErr w:type="gramStart"/>
      <w:r>
        <w:rPr>
          <w:rFonts w:ascii="仿宋" w:eastAsia="仿宋" w:hAnsi="仿宋" w:cs="仿宋" w:hint="eastAsia"/>
          <w:color w:val="000000"/>
          <w:sz w:val="32"/>
          <w:szCs w:val="32"/>
        </w:rPr>
        <w:t>传时间</w:t>
      </w:r>
      <w:proofErr w:type="gramEnd"/>
      <w:r>
        <w:rPr>
          <w:rFonts w:ascii="仿宋" w:eastAsia="仿宋" w:hAnsi="仿宋" w:cs="仿宋" w:hint="eastAsia"/>
          <w:color w:val="000000"/>
          <w:sz w:val="32"/>
          <w:szCs w:val="32"/>
        </w:rPr>
        <w:t>窗口，</w:t>
      </w:r>
      <w:proofErr w:type="gramStart"/>
      <w:r>
        <w:rPr>
          <w:rFonts w:ascii="仿宋" w:eastAsia="仿宋" w:hAnsi="仿宋" w:cs="仿宋" w:hint="eastAsia"/>
          <w:color w:val="000000"/>
          <w:sz w:val="32"/>
          <w:szCs w:val="32"/>
        </w:rPr>
        <w:t>自动补传数据</w:t>
      </w:r>
      <w:proofErr w:type="gramEnd"/>
      <w:r>
        <w:rPr>
          <w:rFonts w:ascii="仿宋" w:eastAsia="仿宋" w:hAnsi="仿宋" w:cs="仿宋" w:hint="eastAsia"/>
          <w:color w:val="000000"/>
          <w:sz w:val="32"/>
          <w:szCs w:val="32"/>
        </w:rPr>
        <w:t xml:space="preserve">。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3.6 数据补传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能耗在线监测端设备应支持</w:t>
      </w:r>
      <w:proofErr w:type="gramStart"/>
      <w:r>
        <w:rPr>
          <w:rFonts w:ascii="仿宋" w:eastAsia="仿宋" w:hAnsi="仿宋" w:cs="仿宋" w:hint="eastAsia"/>
          <w:color w:val="000000"/>
          <w:sz w:val="32"/>
          <w:szCs w:val="32"/>
        </w:rPr>
        <w:t>人工补传功能</w:t>
      </w:r>
      <w:proofErr w:type="gramEnd"/>
      <w:r>
        <w:rPr>
          <w:rFonts w:ascii="仿宋" w:eastAsia="仿宋" w:hAnsi="仿宋" w:cs="仿宋" w:hint="eastAsia"/>
          <w:color w:val="000000"/>
          <w:sz w:val="32"/>
          <w:szCs w:val="32"/>
        </w:rPr>
        <w:t xml:space="preserve">，当上传的采集数据不完整或不准确时，可通过人工填报的方式进行真实数据补传。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4 数据要求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4.1 企业基本信息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lastRenderedPageBreak/>
        <w:t xml:space="preserve">能耗在线监测端设备应支持企业基本信息上传功能。企业基本信息内容应符合《重点用能单位能耗在线监测系统基础信息与格式规范》要求。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4.2 能耗上报数据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能耗在线监测端设备上报的能耗数据项应符合所在行业“数据采集技术指南”要求。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4.3 数据正确性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能耗在线监测端设备应支持数据合理性检查，对超出合理范围的数据应给出报警或提示。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5信息安全要求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5.1 高强度身份认证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能耗监测端设备需采用经过国家信息中心认证的统一的CA数字认证证书，证书提供基于PKI数字证书技术的高强度身份认证服务，能耗监测</w:t>
      </w:r>
      <w:proofErr w:type="gramStart"/>
      <w:r>
        <w:rPr>
          <w:rFonts w:ascii="仿宋" w:eastAsia="仿宋" w:hAnsi="仿宋" w:cs="仿宋" w:hint="eastAsia"/>
          <w:color w:val="000000"/>
          <w:sz w:val="32"/>
          <w:szCs w:val="32"/>
        </w:rPr>
        <w:t>端用户</w:t>
      </w:r>
      <w:proofErr w:type="gramEnd"/>
      <w:r>
        <w:rPr>
          <w:rFonts w:ascii="仿宋" w:eastAsia="仿宋" w:hAnsi="仿宋" w:cs="仿宋" w:hint="eastAsia"/>
          <w:color w:val="000000"/>
          <w:sz w:val="32"/>
          <w:szCs w:val="32"/>
        </w:rPr>
        <w:t xml:space="preserve">只能通过统一的CA数字认证证书连接国家、省级平台。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5.2 数据安全交互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企业端设备上传能耗数据经过“CA认证+HTTPS协议+VPN专线”方式多重加密传输。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5.3 安全隔离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能耗在线监测端设备应遵循GB/T 20279《信息安全技术 网络和终端隔离产品安全技术要求》中对网络和终端隔离产品的技术要求，并获得国家认可的第三方检验检测机构</w:t>
      </w:r>
      <w:r>
        <w:rPr>
          <w:rFonts w:ascii="仿宋" w:eastAsia="仿宋" w:hAnsi="仿宋" w:cs="仿宋" w:hint="eastAsia"/>
          <w:color w:val="000000"/>
          <w:sz w:val="32"/>
          <w:szCs w:val="32"/>
        </w:rPr>
        <w:lastRenderedPageBreak/>
        <w:t xml:space="preserve">的信息安全产品认证评测。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6 运维管理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6.1本地维护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能耗在线监测端设备应具备本地维护功能，通过自带显示屏或其他维护接口方式查看设备工作状态，以便快速定位故障点及诊断报修。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6.2远程监控 </w:t>
      </w:r>
    </w:p>
    <w:p w:rsidR="00903BC5" w:rsidRDefault="0012494E">
      <w:pPr>
        <w:spacing w:line="480" w:lineRule="auto"/>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能耗在线监测端设备应提供远程监控接口，至少能够提供设备硬件（CPU、内存、硬盘等）工作状态、应用程序运行状态、设备操作系统信息（操作系统类型、版本）等远程监控信息和监控错误日志信息。 </w:t>
      </w:r>
    </w:p>
    <w:p w:rsidR="00903BC5" w:rsidRDefault="0012494E">
      <w:pPr>
        <w:spacing w:line="480" w:lineRule="auto"/>
        <w:jc w:val="left"/>
        <w:rPr>
          <w:rFonts w:ascii="仿宋" w:eastAsia="仿宋" w:hAnsi="仿宋" w:cs="仿宋"/>
          <w:sz w:val="32"/>
          <w:szCs w:val="32"/>
        </w:rPr>
      </w:pPr>
      <w:r>
        <w:rPr>
          <w:rFonts w:ascii="仿宋" w:eastAsia="仿宋" w:hAnsi="仿宋" w:cs="仿宋" w:hint="eastAsia"/>
          <w:sz w:val="32"/>
          <w:szCs w:val="32"/>
        </w:rPr>
        <w:t xml:space="preserve">6.3 远程配置 </w:t>
      </w:r>
    </w:p>
    <w:p w:rsidR="00903BC5" w:rsidRDefault="0012494E">
      <w:pPr>
        <w:spacing w:line="480" w:lineRule="auto"/>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应支持通过远程方式完成能耗在线监测端设备外网主机部分的上传地址、采集数据项、计算公式等参数配置。 </w:t>
      </w:r>
    </w:p>
    <w:p w:rsidR="00903BC5" w:rsidRDefault="0012494E">
      <w:pPr>
        <w:spacing w:line="480" w:lineRule="auto"/>
        <w:jc w:val="left"/>
        <w:rPr>
          <w:rFonts w:ascii="仿宋" w:eastAsia="仿宋" w:hAnsi="仿宋" w:cs="仿宋"/>
          <w:sz w:val="32"/>
          <w:szCs w:val="32"/>
        </w:rPr>
      </w:pPr>
      <w:r>
        <w:rPr>
          <w:rFonts w:ascii="仿宋" w:eastAsia="仿宋" w:hAnsi="仿宋" w:cs="仿宋" w:hint="eastAsia"/>
          <w:sz w:val="32"/>
          <w:szCs w:val="32"/>
        </w:rPr>
        <w:t xml:space="preserve">6.4 远程升级 </w:t>
      </w:r>
    </w:p>
    <w:p w:rsidR="00903BC5" w:rsidRDefault="0012494E">
      <w:pPr>
        <w:spacing w:line="480" w:lineRule="auto"/>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能耗在线监测端设备应具备远程安装、卸载、升级应用程序的功能。 </w:t>
      </w:r>
    </w:p>
    <w:p w:rsidR="00903BC5" w:rsidRDefault="0012494E">
      <w:pPr>
        <w:spacing w:line="480" w:lineRule="auto"/>
        <w:jc w:val="left"/>
        <w:rPr>
          <w:rFonts w:ascii="仿宋" w:eastAsia="仿宋" w:hAnsi="仿宋" w:cs="仿宋"/>
          <w:sz w:val="32"/>
          <w:szCs w:val="32"/>
        </w:rPr>
      </w:pPr>
      <w:r>
        <w:rPr>
          <w:rFonts w:ascii="仿宋" w:eastAsia="仿宋" w:hAnsi="仿宋" w:cs="仿宋" w:hint="eastAsia"/>
          <w:sz w:val="32"/>
          <w:szCs w:val="32"/>
        </w:rPr>
        <w:t xml:space="preserve">能耗在线监测端设备进行远程安装、卸载、升级等操作时，必须充分保证端设备数据库安全，不得对企业能耗数据进行修改、复制、查看等任何操作。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7产品认证 </w:t>
      </w:r>
    </w:p>
    <w:p w:rsidR="00903BC5" w:rsidRDefault="0012494E">
      <w:pPr>
        <w:spacing w:line="480" w:lineRule="auto"/>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能耗在线监测端设备应遵守GB/T 20279 《信息安全技</w:t>
      </w:r>
      <w:r>
        <w:rPr>
          <w:rFonts w:ascii="仿宋" w:eastAsia="仿宋" w:hAnsi="仿宋" w:cs="仿宋" w:hint="eastAsia"/>
          <w:color w:val="000000"/>
          <w:sz w:val="32"/>
          <w:szCs w:val="32"/>
        </w:rPr>
        <w:lastRenderedPageBreak/>
        <w:t xml:space="preserve">术网络和终端设备隔离部件安全技术要求》相关规定，且通过国家认可的第三方检验检测机构的检测认证，并取得计算机信息系统安全专用产品销售许可证。 </w:t>
      </w:r>
    </w:p>
    <w:p w:rsidR="00903BC5" w:rsidRDefault="0012494E">
      <w:pPr>
        <w:spacing w:line="480" w:lineRule="auto"/>
        <w:jc w:val="left"/>
        <w:rPr>
          <w:rFonts w:ascii="仿宋" w:eastAsia="仿宋" w:hAnsi="仿宋" w:cs="仿宋"/>
          <w:color w:val="000000"/>
          <w:sz w:val="32"/>
          <w:szCs w:val="32"/>
        </w:rPr>
      </w:pPr>
      <w:r>
        <w:rPr>
          <w:rFonts w:ascii="仿宋" w:eastAsia="仿宋" w:hAnsi="仿宋" w:cs="仿宋" w:hint="eastAsia"/>
          <w:color w:val="000000"/>
          <w:sz w:val="32"/>
          <w:szCs w:val="32"/>
        </w:rPr>
        <w:t xml:space="preserve">能耗在线监测端设备原则上应遵守GB/T 17626 《电磁兼容 试验和测量技术系列标准》中相关规定，且需满足国家节能中心发布的《重点用能单位能耗在线监测端设备接口协议规范》及《重点用能单位能耗在线监测端设备检测规范》中对端设备应用软件的相关规定，并取得国家认可的第三方检验检测机构的检测报告。 </w:t>
      </w:r>
    </w:p>
    <w:p w:rsidR="00903BC5" w:rsidRDefault="0012494E">
      <w:pPr>
        <w:spacing w:line="480" w:lineRule="auto"/>
        <w:jc w:val="left"/>
        <w:rPr>
          <w:rFonts w:ascii="仿宋" w:eastAsia="仿宋" w:hAnsi="仿宋" w:cs="仿宋"/>
          <w:sz w:val="32"/>
          <w:szCs w:val="32"/>
        </w:rPr>
      </w:pPr>
      <w:r>
        <w:rPr>
          <w:rFonts w:ascii="仿宋" w:eastAsia="仿宋" w:hAnsi="仿宋" w:cs="仿宋" w:hint="eastAsia"/>
          <w:color w:val="000000"/>
          <w:sz w:val="32"/>
          <w:szCs w:val="32"/>
        </w:rPr>
        <w:t xml:space="preserve">   </w:t>
      </w:r>
      <w:r>
        <w:rPr>
          <w:rFonts w:ascii="仿宋" w:eastAsia="仿宋" w:hAnsi="仿宋" w:cs="仿宋" w:hint="eastAsia"/>
          <w:sz w:val="32"/>
          <w:szCs w:val="32"/>
        </w:rPr>
        <w:t>中标单位要能确保达到此项端系统建设的上述功能，所提供的产品也要得到相关部门的检验认证，相关证明一并附带。具体设备清单可参考下表：</w:t>
      </w:r>
    </w:p>
    <w:tbl>
      <w:tblPr>
        <w:tblStyle w:val="a8"/>
        <w:tblW w:w="8522" w:type="dxa"/>
        <w:tblLayout w:type="fixed"/>
        <w:tblLook w:val="04A0" w:firstRow="1" w:lastRow="0" w:firstColumn="1" w:lastColumn="0" w:noHBand="0" w:noVBand="1"/>
      </w:tblPr>
      <w:tblGrid>
        <w:gridCol w:w="939"/>
        <w:gridCol w:w="5655"/>
        <w:gridCol w:w="990"/>
        <w:gridCol w:w="938"/>
      </w:tblGrid>
      <w:tr w:rsidR="00903BC5">
        <w:tc>
          <w:tcPr>
            <w:tcW w:w="939"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序号</w:t>
            </w:r>
          </w:p>
        </w:tc>
        <w:tc>
          <w:tcPr>
            <w:tcW w:w="5655"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名称</w:t>
            </w:r>
          </w:p>
        </w:tc>
        <w:tc>
          <w:tcPr>
            <w:tcW w:w="990"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单位</w:t>
            </w:r>
          </w:p>
        </w:tc>
        <w:tc>
          <w:tcPr>
            <w:tcW w:w="938"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数量</w:t>
            </w:r>
          </w:p>
        </w:tc>
      </w:tr>
      <w:tr w:rsidR="00903BC5">
        <w:tc>
          <w:tcPr>
            <w:tcW w:w="939" w:type="dxa"/>
          </w:tcPr>
          <w:p w:rsidR="00903BC5" w:rsidRDefault="00903BC5">
            <w:pPr>
              <w:spacing w:line="480" w:lineRule="auto"/>
              <w:jc w:val="center"/>
              <w:rPr>
                <w:rFonts w:ascii="仿宋" w:eastAsia="仿宋" w:hAnsi="仿宋" w:cs="仿宋"/>
                <w:sz w:val="30"/>
                <w:szCs w:val="30"/>
              </w:rPr>
            </w:pPr>
          </w:p>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1</w:t>
            </w:r>
          </w:p>
        </w:tc>
        <w:tc>
          <w:tcPr>
            <w:tcW w:w="5655"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“2+1”隔离主机），包括操作系统软件、数据库软件，带安装支架配件</w:t>
            </w:r>
            <w:r>
              <w:rPr>
                <w:rFonts w:ascii="仿宋" w:eastAsia="仿宋" w:hAnsi="仿宋" w:cs="仿宋" w:hint="eastAsia"/>
                <w:b/>
                <w:bCs/>
                <w:sz w:val="30"/>
                <w:szCs w:val="30"/>
              </w:rPr>
              <w:t>}</w:t>
            </w:r>
          </w:p>
        </w:tc>
        <w:tc>
          <w:tcPr>
            <w:tcW w:w="990" w:type="dxa"/>
          </w:tcPr>
          <w:p w:rsidR="00903BC5" w:rsidRDefault="00903BC5">
            <w:pPr>
              <w:spacing w:line="480" w:lineRule="auto"/>
              <w:jc w:val="center"/>
              <w:rPr>
                <w:rFonts w:ascii="仿宋" w:eastAsia="仿宋" w:hAnsi="仿宋" w:cs="仿宋"/>
                <w:sz w:val="30"/>
                <w:szCs w:val="30"/>
              </w:rPr>
            </w:pPr>
          </w:p>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套</w:t>
            </w:r>
          </w:p>
        </w:tc>
        <w:tc>
          <w:tcPr>
            <w:tcW w:w="938" w:type="dxa"/>
          </w:tcPr>
          <w:p w:rsidR="00903BC5" w:rsidRDefault="00903BC5">
            <w:pPr>
              <w:spacing w:line="480" w:lineRule="auto"/>
              <w:jc w:val="center"/>
              <w:rPr>
                <w:rFonts w:ascii="仿宋" w:eastAsia="仿宋" w:hAnsi="仿宋" w:cs="仿宋"/>
                <w:sz w:val="30"/>
                <w:szCs w:val="30"/>
              </w:rPr>
            </w:pPr>
          </w:p>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1</w:t>
            </w:r>
          </w:p>
        </w:tc>
      </w:tr>
      <w:tr w:rsidR="00903BC5">
        <w:trPr>
          <w:trHeight w:val="734"/>
        </w:trPr>
        <w:tc>
          <w:tcPr>
            <w:tcW w:w="939"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2</w:t>
            </w:r>
          </w:p>
        </w:tc>
        <w:tc>
          <w:tcPr>
            <w:tcW w:w="5655"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能源消费总量在线监测管理企业端系统</w:t>
            </w:r>
          </w:p>
        </w:tc>
        <w:tc>
          <w:tcPr>
            <w:tcW w:w="990"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套</w:t>
            </w:r>
          </w:p>
        </w:tc>
        <w:tc>
          <w:tcPr>
            <w:tcW w:w="938"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1</w:t>
            </w:r>
          </w:p>
        </w:tc>
      </w:tr>
      <w:tr w:rsidR="00903BC5">
        <w:trPr>
          <w:trHeight w:val="874"/>
        </w:trPr>
        <w:tc>
          <w:tcPr>
            <w:tcW w:w="939"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3</w:t>
            </w:r>
          </w:p>
        </w:tc>
        <w:tc>
          <w:tcPr>
            <w:tcW w:w="5655"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硬件防火墙（华为品牌，</w:t>
            </w:r>
            <w:r>
              <w:rPr>
                <w:rFonts w:ascii="仿宋" w:eastAsia="仿宋" w:hAnsi="仿宋" w:cs="仿宋" w:hint="eastAsia"/>
                <w:color w:val="000000" w:themeColor="text1"/>
                <w:sz w:val="30"/>
                <w:szCs w:val="30"/>
              </w:rPr>
              <w:t>支持WEB管理</w:t>
            </w:r>
            <w:r>
              <w:rPr>
                <w:rFonts w:ascii="仿宋" w:eastAsia="仿宋" w:hAnsi="仿宋" w:cs="仿宋" w:hint="eastAsia"/>
                <w:sz w:val="30"/>
                <w:szCs w:val="30"/>
              </w:rPr>
              <w:t>、带安装支架配件）</w:t>
            </w:r>
          </w:p>
        </w:tc>
        <w:tc>
          <w:tcPr>
            <w:tcW w:w="990"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套</w:t>
            </w:r>
          </w:p>
        </w:tc>
        <w:tc>
          <w:tcPr>
            <w:tcW w:w="938"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1</w:t>
            </w:r>
          </w:p>
        </w:tc>
      </w:tr>
      <w:tr w:rsidR="00903BC5">
        <w:trPr>
          <w:trHeight w:val="889"/>
        </w:trPr>
        <w:tc>
          <w:tcPr>
            <w:tcW w:w="939"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4</w:t>
            </w:r>
          </w:p>
        </w:tc>
        <w:tc>
          <w:tcPr>
            <w:tcW w:w="5655"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数据流量卡</w:t>
            </w:r>
          </w:p>
        </w:tc>
        <w:tc>
          <w:tcPr>
            <w:tcW w:w="990"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年</w:t>
            </w:r>
          </w:p>
        </w:tc>
        <w:tc>
          <w:tcPr>
            <w:tcW w:w="938"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5</w:t>
            </w:r>
          </w:p>
        </w:tc>
      </w:tr>
      <w:tr w:rsidR="00903BC5">
        <w:trPr>
          <w:trHeight w:val="729"/>
        </w:trPr>
        <w:tc>
          <w:tcPr>
            <w:tcW w:w="939"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5</w:t>
            </w:r>
          </w:p>
        </w:tc>
        <w:tc>
          <w:tcPr>
            <w:tcW w:w="5655"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4G远程通信模块</w:t>
            </w:r>
          </w:p>
        </w:tc>
        <w:tc>
          <w:tcPr>
            <w:tcW w:w="990"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台</w:t>
            </w:r>
          </w:p>
        </w:tc>
        <w:tc>
          <w:tcPr>
            <w:tcW w:w="938" w:type="dxa"/>
          </w:tcPr>
          <w:p w:rsidR="00903BC5" w:rsidRDefault="0012494E">
            <w:pPr>
              <w:spacing w:line="480" w:lineRule="auto"/>
              <w:jc w:val="center"/>
              <w:rPr>
                <w:rFonts w:ascii="仿宋" w:eastAsia="仿宋" w:hAnsi="仿宋" w:cs="仿宋"/>
                <w:sz w:val="30"/>
                <w:szCs w:val="30"/>
              </w:rPr>
            </w:pPr>
            <w:r>
              <w:rPr>
                <w:rFonts w:ascii="仿宋" w:eastAsia="仿宋" w:hAnsi="仿宋" w:cs="仿宋" w:hint="eastAsia"/>
                <w:sz w:val="30"/>
                <w:szCs w:val="30"/>
              </w:rPr>
              <w:t>1</w:t>
            </w:r>
          </w:p>
        </w:tc>
      </w:tr>
    </w:tbl>
    <w:p w:rsidR="00903BC5" w:rsidRDefault="00903BC5">
      <w:pPr>
        <w:rPr>
          <w:rFonts w:ascii="黑体" w:eastAsia="黑体" w:hAnsi="黑体"/>
          <w:sz w:val="32"/>
          <w:szCs w:val="32"/>
        </w:rPr>
      </w:pPr>
    </w:p>
    <w:p w:rsidR="00903BC5" w:rsidRDefault="0012494E">
      <w:pPr>
        <w:rPr>
          <w:rFonts w:ascii="黑体" w:eastAsia="黑体" w:hAnsi="黑体"/>
          <w:sz w:val="32"/>
          <w:szCs w:val="32"/>
        </w:rPr>
      </w:pPr>
      <w:r>
        <w:rPr>
          <w:rFonts w:ascii="黑体" w:eastAsia="黑体" w:hAnsi="黑体" w:hint="eastAsia"/>
          <w:sz w:val="32"/>
          <w:szCs w:val="32"/>
        </w:rPr>
        <w:lastRenderedPageBreak/>
        <w:t>四、产品资质</w:t>
      </w:r>
    </w:p>
    <w:p w:rsidR="00903BC5" w:rsidRDefault="0012494E">
      <w:pPr>
        <w:ind w:firstLineChars="200" w:firstLine="640"/>
        <w:rPr>
          <w:rFonts w:ascii="仿宋" w:eastAsia="仿宋" w:hAnsi="仿宋" w:cs="仿宋"/>
          <w:sz w:val="32"/>
          <w:szCs w:val="32"/>
        </w:rPr>
      </w:pPr>
      <w:r>
        <w:rPr>
          <w:rFonts w:ascii="仿宋" w:eastAsia="仿宋" w:hAnsi="仿宋" w:cs="仿宋" w:hint="eastAsia"/>
          <w:sz w:val="32"/>
          <w:szCs w:val="32"/>
        </w:rPr>
        <w:t>1、“2+1”能耗监测端设备：须符合国家能源中心2018年5月发布的</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重点用能单位耗在线监测系统技术规范-端设备技术规范（NHJC-06-2018），取得计算机信息系统安全专用产品销售许可证。</w:t>
      </w:r>
    </w:p>
    <w:p w:rsidR="00903BC5" w:rsidRDefault="0012494E">
      <w:pPr>
        <w:ind w:firstLineChars="200" w:firstLine="640"/>
        <w:rPr>
          <w:rFonts w:ascii="仿宋" w:eastAsia="仿宋" w:hAnsi="仿宋" w:cs="仿宋"/>
          <w:sz w:val="32"/>
          <w:szCs w:val="32"/>
        </w:rPr>
      </w:pPr>
      <w:r>
        <w:rPr>
          <w:rFonts w:ascii="仿宋" w:eastAsia="仿宋" w:hAnsi="仿宋" w:cs="仿宋" w:hint="eastAsia"/>
          <w:sz w:val="32"/>
          <w:szCs w:val="32"/>
        </w:rPr>
        <w:t>1.1 提供公安部颁发的计算机信息系统安全专用产品销售许可证。</w:t>
      </w:r>
    </w:p>
    <w:p w:rsidR="00903BC5" w:rsidRDefault="0012494E">
      <w:pPr>
        <w:ind w:firstLineChars="200" w:firstLine="640"/>
        <w:rPr>
          <w:rFonts w:ascii="仿宋" w:eastAsia="仿宋" w:hAnsi="仿宋" w:cs="仿宋"/>
          <w:sz w:val="32"/>
          <w:szCs w:val="32"/>
        </w:rPr>
      </w:pPr>
      <w:r>
        <w:rPr>
          <w:rFonts w:ascii="仿宋" w:eastAsia="仿宋" w:hAnsi="仿宋" w:cs="仿宋" w:hint="eastAsia"/>
          <w:sz w:val="32"/>
          <w:szCs w:val="32"/>
        </w:rPr>
        <w:t>1.2 提供公安部信息系统安全产品质量监督检验中心出具的检验检测报告。</w:t>
      </w:r>
    </w:p>
    <w:p w:rsidR="00903BC5" w:rsidRDefault="0012494E">
      <w:pPr>
        <w:ind w:firstLineChars="200" w:firstLine="640"/>
        <w:rPr>
          <w:rFonts w:ascii="仿宋" w:eastAsia="仿宋" w:hAnsi="仿宋" w:cs="仿宋"/>
          <w:sz w:val="32"/>
          <w:szCs w:val="32"/>
        </w:rPr>
      </w:pPr>
      <w:r>
        <w:rPr>
          <w:rFonts w:ascii="仿宋" w:eastAsia="仿宋" w:hAnsi="仿宋" w:cs="仿宋" w:hint="eastAsia"/>
          <w:sz w:val="32"/>
          <w:szCs w:val="32"/>
        </w:rPr>
        <w:t>1.3 提供设备厂商出具的产品授权书（须提供授权书原件，并在授权书中注明投标项目名称和编号）</w:t>
      </w:r>
    </w:p>
    <w:p w:rsidR="00903BC5" w:rsidRDefault="0012494E">
      <w:pPr>
        <w:ind w:firstLineChars="200" w:firstLine="640"/>
        <w:rPr>
          <w:rFonts w:ascii="仿宋" w:eastAsia="仿宋" w:hAnsi="仿宋" w:cs="仿宋"/>
          <w:sz w:val="32"/>
          <w:szCs w:val="32"/>
        </w:rPr>
      </w:pPr>
      <w:r>
        <w:rPr>
          <w:rFonts w:ascii="仿宋" w:eastAsia="仿宋" w:hAnsi="仿宋" w:cs="仿宋" w:hint="eastAsia"/>
          <w:sz w:val="32"/>
          <w:szCs w:val="32"/>
        </w:rPr>
        <w:t>2、软件功能模块须符合福建省</w:t>
      </w:r>
      <w:proofErr w:type="gramStart"/>
      <w:r>
        <w:rPr>
          <w:rFonts w:ascii="仿宋" w:eastAsia="仿宋" w:hAnsi="仿宋" w:cs="仿宋" w:hint="eastAsia"/>
          <w:sz w:val="32"/>
          <w:szCs w:val="32"/>
        </w:rPr>
        <w:t>经信委2018年6月</w:t>
      </w:r>
      <w:proofErr w:type="gramEnd"/>
      <w:r>
        <w:rPr>
          <w:rFonts w:ascii="仿宋" w:eastAsia="仿宋" w:hAnsi="仿宋" w:cs="仿宋" w:hint="eastAsia"/>
          <w:sz w:val="32"/>
          <w:szCs w:val="32"/>
        </w:rPr>
        <w:t>发布的《福建省企业端系统建设技术方案（内容及格式要求）》，具有企业信息、能源监控、统计分析、能耗成本、能效报告、报警管理、设备管理、数据上传、能源报表等模块功能。</w:t>
      </w:r>
    </w:p>
    <w:p w:rsidR="00903BC5" w:rsidRDefault="0012494E">
      <w:pPr>
        <w:rPr>
          <w:rFonts w:ascii="黑体" w:eastAsia="黑体" w:hAnsi="黑体"/>
          <w:sz w:val="32"/>
          <w:szCs w:val="32"/>
        </w:rPr>
      </w:pPr>
      <w:r>
        <w:rPr>
          <w:rFonts w:ascii="黑体" w:eastAsia="黑体" w:hAnsi="黑体" w:hint="eastAsia"/>
          <w:sz w:val="32"/>
          <w:szCs w:val="32"/>
        </w:rPr>
        <w:t>五、其他事项</w:t>
      </w:r>
    </w:p>
    <w:p w:rsidR="00903BC5" w:rsidRDefault="0012494E">
      <w:pPr>
        <w:numPr>
          <w:ilvl w:val="0"/>
          <w:numId w:val="2"/>
        </w:numPr>
        <w:ind w:left="0"/>
        <w:rPr>
          <w:rFonts w:ascii="仿宋" w:eastAsia="仿宋" w:hAnsi="仿宋" w:cs="仿宋"/>
          <w:sz w:val="32"/>
          <w:szCs w:val="32"/>
        </w:rPr>
      </w:pPr>
      <w:r>
        <w:rPr>
          <w:rFonts w:ascii="仿宋" w:eastAsia="仿宋" w:hAnsi="仿宋" w:cs="仿宋" w:hint="eastAsia"/>
          <w:sz w:val="32"/>
          <w:szCs w:val="32"/>
        </w:rPr>
        <w:t>附带相关资料及其他事项</w:t>
      </w:r>
    </w:p>
    <w:p w:rsidR="00903BC5" w:rsidRDefault="0012494E">
      <w:pPr>
        <w:ind w:firstLineChars="100" w:firstLine="320"/>
        <w:rPr>
          <w:rFonts w:ascii="仿宋" w:eastAsia="仿宋" w:hAnsi="仿宋" w:cs="仿宋"/>
          <w:sz w:val="32"/>
          <w:szCs w:val="32"/>
        </w:rPr>
      </w:pPr>
      <w:r>
        <w:rPr>
          <w:rFonts w:ascii="仿宋" w:eastAsia="仿宋" w:hAnsi="仿宋" w:cs="仿宋" w:hint="eastAsia"/>
          <w:sz w:val="32"/>
          <w:szCs w:val="32"/>
        </w:rPr>
        <w:t>中标单位需提供软硬件清单及配套资料，提供系统软件、数据库软件、能源消耗在线监测管理企业端系统软件及授权，提供用户操作手册，提供系统安装的操作指导手册。</w:t>
      </w:r>
    </w:p>
    <w:p w:rsidR="00903BC5" w:rsidRDefault="0012494E">
      <w:pPr>
        <w:numPr>
          <w:ilvl w:val="0"/>
          <w:numId w:val="2"/>
        </w:numPr>
        <w:ind w:left="0"/>
        <w:rPr>
          <w:rFonts w:ascii="仿宋" w:eastAsia="仿宋" w:hAnsi="仿宋" w:cs="仿宋"/>
          <w:sz w:val="32"/>
          <w:szCs w:val="32"/>
        </w:rPr>
      </w:pPr>
      <w:r>
        <w:rPr>
          <w:rFonts w:ascii="仿宋" w:eastAsia="仿宋" w:hAnsi="仿宋" w:cs="仿宋" w:hint="eastAsia"/>
          <w:sz w:val="32"/>
          <w:szCs w:val="32"/>
        </w:rPr>
        <w:t>培训</w:t>
      </w:r>
    </w:p>
    <w:p w:rsidR="00903BC5" w:rsidRDefault="0012494E">
      <w:pPr>
        <w:jc w:val="left"/>
        <w:rPr>
          <w:rFonts w:ascii="仿宋" w:eastAsia="仿宋" w:hAnsi="仿宋" w:cs="仿宋"/>
          <w:sz w:val="30"/>
          <w:szCs w:val="30"/>
        </w:rPr>
      </w:pPr>
      <w:r>
        <w:rPr>
          <w:rFonts w:ascii="仿宋" w:eastAsia="仿宋" w:hAnsi="仿宋" w:cs="仿宋" w:hint="eastAsia"/>
          <w:sz w:val="30"/>
          <w:szCs w:val="30"/>
        </w:rPr>
        <w:t xml:space="preserve">   设备安装调试好后，必须负责对用户软件工程师进行系统安</w:t>
      </w:r>
      <w:r>
        <w:rPr>
          <w:rFonts w:ascii="仿宋" w:eastAsia="仿宋" w:hAnsi="仿宋" w:cs="仿宋" w:hint="eastAsia"/>
          <w:sz w:val="30"/>
          <w:szCs w:val="30"/>
        </w:rPr>
        <w:lastRenderedPageBreak/>
        <w:t>装、调试和使用的培训；必须负责对本公司至少2名（含）以上能源管理工程师进行培训，让企业的能源管理工程师懂得操作能耗监测端设备，懂得手工录入，懂得查询数据，懂得基本的日常故障维护；</w:t>
      </w:r>
    </w:p>
    <w:p w:rsidR="00903BC5" w:rsidRDefault="0012494E">
      <w:pPr>
        <w:pStyle w:val="3"/>
        <w:spacing w:line="240" w:lineRule="auto"/>
        <w:ind w:firstLineChars="0" w:firstLine="0"/>
        <w:rPr>
          <w:rFonts w:ascii="仿宋" w:eastAsia="仿宋" w:hAnsi="仿宋" w:cs="仿宋"/>
          <w:b w:val="0"/>
          <w:szCs w:val="32"/>
        </w:rPr>
      </w:pPr>
      <w:r>
        <w:rPr>
          <w:rFonts w:ascii="仿宋" w:eastAsia="仿宋" w:hAnsi="仿宋" w:cs="仿宋" w:hint="eastAsia"/>
          <w:b w:val="0"/>
          <w:sz w:val="30"/>
          <w:szCs w:val="30"/>
        </w:rPr>
        <w:t>3）</w:t>
      </w:r>
      <w:r>
        <w:rPr>
          <w:rFonts w:ascii="仿宋" w:eastAsia="仿宋" w:hAnsi="仿宋" w:cs="仿宋" w:hint="eastAsia"/>
          <w:b w:val="0"/>
          <w:szCs w:val="32"/>
        </w:rPr>
        <w:t>运维服务</w:t>
      </w:r>
    </w:p>
    <w:p w:rsidR="00903BC5" w:rsidRDefault="0012494E">
      <w:pPr>
        <w:ind w:firstLineChars="200" w:firstLine="640"/>
        <w:rPr>
          <w:rFonts w:ascii="仿宋" w:eastAsia="仿宋" w:hAnsi="仿宋" w:cs="仿宋"/>
          <w:sz w:val="32"/>
          <w:szCs w:val="32"/>
        </w:rPr>
      </w:pPr>
      <w:r>
        <w:rPr>
          <w:rFonts w:ascii="仿宋" w:eastAsia="仿宋" w:hAnsi="仿宋" w:cs="仿宋" w:hint="eastAsia"/>
          <w:sz w:val="32"/>
          <w:szCs w:val="32"/>
        </w:rPr>
        <w:t>招标单位需提供远程服务及现场服务。远程服务不能解决的，需安排工程师在48小时内到达企业现场维护。</w:t>
      </w:r>
    </w:p>
    <w:p w:rsidR="00903BC5" w:rsidRPr="001155E8" w:rsidRDefault="0012494E">
      <w:pPr>
        <w:pStyle w:val="0"/>
        <w:spacing w:line="360" w:lineRule="auto"/>
        <w:outlineLvl w:val="0"/>
        <w:rPr>
          <w:rFonts w:ascii="黑体" w:eastAsia="黑体" w:hAnsi="黑体"/>
          <w:color w:val="000000"/>
          <w:sz w:val="28"/>
          <w:szCs w:val="24"/>
          <w:lang w:eastAsia="zh-CN"/>
        </w:rPr>
      </w:pPr>
      <w:bookmarkStart w:id="0" w:name="_Toc489894709"/>
      <w:bookmarkStart w:id="1" w:name="_Toc363484965"/>
      <w:bookmarkStart w:id="2" w:name="_Toc455308714"/>
      <w:bookmarkStart w:id="3" w:name="_Toc439792323"/>
      <w:bookmarkStart w:id="4" w:name="_Toc361844612"/>
      <w:bookmarkStart w:id="5" w:name="_Toc360028591"/>
      <w:r w:rsidRPr="001155E8">
        <w:rPr>
          <w:rFonts w:ascii="黑体" w:eastAsia="黑体" w:hAnsi="黑体" w:hint="eastAsia"/>
          <w:color w:val="000000"/>
          <w:sz w:val="28"/>
          <w:szCs w:val="24"/>
          <w:lang w:eastAsia="zh-CN"/>
        </w:rPr>
        <w:t>六、承包商资质</w:t>
      </w:r>
      <w:r w:rsidR="002E66BE">
        <w:rPr>
          <w:rFonts w:ascii="黑体" w:eastAsia="黑体" w:hAnsi="黑体" w:hint="eastAsia"/>
          <w:color w:val="000000"/>
          <w:sz w:val="28"/>
          <w:szCs w:val="24"/>
          <w:lang w:eastAsia="zh-CN"/>
        </w:rPr>
        <w:t>、业绩</w:t>
      </w:r>
      <w:r w:rsidRPr="001155E8">
        <w:rPr>
          <w:rFonts w:ascii="黑体" w:eastAsia="黑体" w:hAnsi="黑体" w:hint="eastAsia"/>
          <w:color w:val="000000"/>
          <w:sz w:val="28"/>
          <w:szCs w:val="24"/>
          <w:lang w:eastAsia="zh-CN"/>
        </w:rPr>
        <w:t>要求</w:t>
      </w:r>
      <w:bookmarkEnd w:id="0"/>
      <w:bookmarkEnd w:id="1"/>
      <w:bookmarkEnd w:id="2"/>
      <w:bookmarkEnd w:id="3"/>
      <w:bookmarkEnd w:id="4"/>
      <w:bookmarkEnd w:id="5"/>
    </w:p>
    <w:p w:rsidR="00903BC5" w:rsidRPr="001155E8" w:rsidRDefault="0012494E" w:rsidP="001155E8">
      <w:pPr>
        <w:pStyle w:val="0"/>
        <w:spacing w:afterLines="50" w:after="156" w:line="360" w:lineRule="auto"/>
        <w:ind w:firstLineChars="200" w:firstLine="480"/>
        <w:rPr>
          <w:color w:val="000000" w:themeColor="text1"/>
          <w:sz w:val="24"/>
          <w:lang w:eastAsia="zh-CN"/>
        </w:rPr>
      </w:pPr>
      <w:r w:rsidRPr="001155E8">
        <w:rPr>
          <w:rFonts w:hint="eastAsia"/>
          <w:sz w:val="24"/>
          <w:lang w:eastAsia="zh-CN"/>
        </w:rPr>
        <w:t>1</w:t>
      </w:r>
      <w:r w:rsidRPr="001155E8">
        <w:rPr>
          <w:rFonts w:hint="eastAsia"/>
          <w:sz w:val="24"/>
          <w:lang w:eastAsia="zh-CN"/>
        </w:rPr>
        <w:t>、</w:t>
      </w:r>
      <w:r w:rsidRPr="001155E8">
        <w:rPr>
          <w:rFonts w:hint="eastAsia"/>
          <w:color w:val="000000" w:themeColor="text1"/>
          <w:sz w:val="24"/>
          <w:lang w:eastAsia="zh-CN"/>
        </w:rPr>
        <w:t>通过</w:t>
      </w:r>
      <w:r w:rsidRPr="001155E8">
        <w:rPr>
          <w:rFonts w:hint="eastAsia"/>
          <w:color w:val="000000" w:themeColor="text1"/>
          <w:sz w:val="24"/>
          <w:lang w:eastAsia="zh-CN"/>
        </w:rPr>
        <w:t>ISO9001</w:t>
      </w:r>
      <w:r w:rsidRPr="001155E8">
        <w:rPr>
          <w:rFonts w:hint="eastAsia"/>
          <w:color w:val="000000" w:themeColor="text1"/>
          <w:sz w:val="24"/>
          <w:lang w:eastAsia="zh-CN"/>
        </w:rPr>
        <w:t>管理体系认证（提供认证证书复印件并加盖公章）</w:t>
      </w:r>
    </w:p>
    <w:p w:rsidR="00903BC5" w:rsidRPr="001155E8" w:rsidRDefault="001155E8">
      <w:pPr>
        <w:pStyle w:val="0"/>
        <w:spacing w:afterLines="50" w:after="156" w:line="360" w:lineRule="auto"/>
        <w:ind w:firstLineChars="200" w:firstLine="480"/>
        <w:rPr>
          <w:color w:val="000000" w:themeColor="text1"/>
          <w:sz w:val="24"/>
          <w:lang w:eastAsia="zh-CN"/>
        </w:rPr>
      </w:pPr>
      <w:r w:rsidRPr="001155E8">
        <w:rPr>
          <w:rFonts w:hint="eastAsia"/>
          <w:color w:val="000000" w:themeColor="text1"/>
          <w:sz w:val="24"/>
          <w:lang w:eastAsia="zh-CN"/>
        </w:rPr>
        <w:t>2</w:t>
      </w:r>
      <w:r w:rsidR="0012494E" w:rsidRPr="001155E8">
        <w:rPr>
          <w:rFonts w:hint="eastAsia"/>
          <w:color w:val="000000" w:themeColor="text1"/>
          <w:sz w:val="24"/>
          <w:lang w:eastAsia="zh-CN"/>
        </w:rPr>
        <w:t>、软件企业（提供省级经</w:t>
      </w:r>
      <w:proofErr w:type="gramStart"/>
      <w:r w:rsidR="0012494E" w:rsidRPr="001155E8">
        <w:rPr>
          <w:rFonts w:hint="eastAsia"/>
          <w:color w:val="000000" w:themeColor="text1"/>
          <w:sz w:val="24"/>
          <w:lang w:eastAsia="zh-CN"/>
        </w:rPr>
        <w:t>信主管</w:t>
      </w:r>
      <w:proofErr w:type="gramEnd"/>
      <w:r w:rsidR="0012494E" w:rsidRPr="001155E8">
        <w:rPr>
          <w:rFonts w:hint="eastAsia"/>
          <w:color w:val="000000" w:themeColor="text1"/>
          <w:sz w:val="24"/>
          <w:lang w:eastAsia="zh-CN"/>
        </w:rPr>
        <w:t>部门颁发的软件企业认定证书）</w:t>
      </w:r>
    </w:p>
    <w:p w:rsidR="00903BC5" w:rsidRPr="001155E8" w:rsidRDefault="001155E8" w:rsidP="001155E8">
      <w:pPr>
        <w:pStyle w:val="0"/>
        <w:spacing w:afterLines="50" w:after="156" w:line="360" w:lineRule="auto"/>
        <w:ind w:firstLineChars="200" w:firstLine="480"/>
        <w:rPr>
          <w:color w:val="000000" w:themeColor="text1"/>
          <w:sz w:val="24"/>
          <w:lang w:eastAsia="zh-CN"/>
        </w:rPr>
      </w:pPr>
      <w:r w:rsidRPr="001155E8">
        <w:rPr>
          <w:rFonts w:hint="eastAsia"/>
          <w:color w:val="000000" w:themeColor="text1"/>
          <w:sz w:val="24"/>
          <w:lang w:eastAsia="zh-CN"/>
        </w:rPr>
        <w:t>3</w:t>
      </w:r>
      <w:r w:rsidR="0012494E" w:rsidRPr="001155E8">
        <w:rPr>
          <w:rFonts w:hint="eastAsia"/>
          <w:color w:val="000000" w:themeColor="text1"/>
          <w:sz w:val="24"/>
          <w:lang w:eastAsia="zh-CN"/>
        </w:rPr>
        <w:t>、商业信誉良好（提供未被“信用中国”网站列入失信被执行人、重大税收违法案件当事人名单的证明材料，其中证明材料系指在“信用中国”网站上的查询记录截图，自行编写无效）</w:t>
      </w:r>
    </w:p>
    <w:p w:rsidR="00903BC5" w:rsidRPr="001155E8" w:rsidRDefault="002E66BE" w:rsidP="002E66BE">
      <w:pPr>
        <w:pStyle w:val="0"/>
        <w:spacing w:afterLines="50" w:after="156" w:line="360" w:lineRule="auto"/>
        <w:ind w:firstLine="420"/>
        <w:rPr>
          <w:sz w:val="24"/>
          <w:lang w:eastAsia="zh-CN"/>
        </w:rPr>
      </w:pPr>
      <w:r>
        <w:rPr>
          <w:rFonts w:hint="eastAsia"/>
          <w:sz w:val="24"/>
          <w:lang w:eastAsia="zh-CN"/>
        </w:rPr>
        <w:t>4</w:t>
      </w:r>
      <w:r w:rsidR="0012494E" w:rsidRPr="001155E8">
        <w:rPr>
          <w:rFonts w:hint="eastAsia"/>
          <w:sz w:val="24"/>
          <w:lang w:eastAsia="zh-CN"/>
        </w:rPr>
        <w:t>、</w:t>
      </w:r>
      <w:r w:rsidR="00DE1D4E">
        <w:rPr>
          <w:rFonts w:hint="eastAsia"/>
          <w:sz w:val="24"/>
          <w:lang w:eastAsia="zh-CN"/>
        </w:rPr>
        <w:t>提供</w:t>
      </w:r>
      <w:r w:rsidR="0012494E" w:rsidRPr="001155E8">
        <w:rPr>
          <w:rFonts w:hint="eastAsia"/>
          <w:sz w:val="24"/>
          <w:lang w:eastAsia="zh-CN"/>
        </w:rPr>
        <w:t>能耗在线监测系统（能源计量信息采集采集系统）</w:t>
      </w:r>
      <w:r w:rsidR="00DE1D4E">
        <w:rPr>
          <w:rFonts w:hint="eastAsia"/>
          <w:sz w:val="24"/>
          <w:lang w:eastAsia="zh-CN"/>
        </w:rPr>
        <w:t>三年内的</w:t>
      </w:r>
      <w:r w:rsidR="0012494E" w:rsidRPr="001155E8">
        <w:rPr>
          <w:rFonts w:hint="eastAsia"/>
          <w:sz w:val="24"/>
          <w:lang w:eastAsia="zh-CN"/>
        </w:rPr>
        <w:t>业绩（提供项目合同复印件并加盖公章）。</w:t>
      </w:r>
      <w:bookmarkStart w:id="6" w:name="_GoBack"/>
      <w:bookmarkEnd w:id="6"/>
    </w:p>
    <w:p w:rsidR="00903BC5" w:rsidRPr="002E66BE" w:rsidRDefault="00903BC5">
      <w:pPr>
        <w:jc w:val="left"/>
        <w:rPr>
          <w:rFonts w:ascii="仿宋" w:eastAsia="仿宋" w:hAnsi="仿宋" w:cs="仿宋"/>
          <w:sz w:val="30"/>
          <w:szCs w:val="30"/>
        </w:rPr>
      </w:pPr>
    </w:p>
    <w:sectPr w:rsidR="00903BC5" w:rsidRPr="002E66B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7F3" w:rsidRDefault="000D27F3" w:rsidP="00355AAE">
      <w:r>
        <w:separator/>
      </w:r>
    </w:p>
  </w:endnote>
  <w:endnote w:type="continuationSeparator" w:id="0">
    <w:p w:rsidR="000D27F3" w:rsidRDefault="000D27F3" w:rsidP="0035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7F3" w:rsidRDefault="000D27F3" w:rsidP="00355AAE">
      <w:r>
        <w:separator/>
      </w:r>
    </w:p>
  </w:footnote>
  <w:footnote w:type="continuationSeparator" w:id="0">
    <w:p w:rsidR="000D27F3" w:rsidRDefault="000D27F3" w:rsidP="00355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3891F"/>
    <w:multiLevelType w:val="singleLevel"/>
    <w:tmpl w:val="3C53891F"/>
    <w:lvl w:ilvl="0">
      <w:start w:val="1"/>
      <w:numFmt w:val="decimal"/>
      <w:suff w:val="nothing"/>
      <w:lvlText w:val="%1）"/>
      <w:lvlJc w:val="left"/>
      <w:pPr>
        <w:ind w:left="480" w:firstLine="0"/>
      </w:pPr>
    </w:lvl>
  </w:abstractNum>
  <w:abstractNum w:abstractNumId="1">
    <w:nsid w:val="7A4EAFF2"/>
    <w:multiLevelType w:val="singleLevel"/>
    <w:tmpl w:val="7A4EAFF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C5"/>
    <w:rsid w:val="000D27F3"/>
    <w:rsid w:val="0010799B"/>
    <w:rsid w:val="001155E8"/>
    <w:rsid w:val="0012494E"/>
    <w:rsid w:val="002E66BE"/>
    <w:rsid w:val="00355AAE"/>
    <w:rsid w:val="00651675"/>
    <w:rsid w:val="008F4487"/>
    <w:rsid w:val="00903BC5"/>
    <w:rsid w:val="00B029CA"/>
    <w:rsid w:val="00BD059A"/>
    <w:rsid w:val="00DE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Cambria" w:hAnsi="Cambria"/>
      <w:b/>
      <w:sz w:val="32"/>
    </w:rPr>
  </w:style>
  <w:style w:type="paragraph" w:styleId="3">
    <w:name w:val="heading 3"/>
    <w:basedOn w:val="a"/>
    <w:next w:val="a"/>
    <w:qFormat/>
    <w:pPr>
      <w:keepNext/>
      <w:keepLines/>
      <w:adjustRightInd w:val="0"/>
      <w:snapToGrid w:val="0"/>
      <w:spacing w:line="600" w:lineRule="exact"/>
      <w:ind w:firstLineChars="200" w:firstLine="880"/>
      <w:outlineLvl w:val="2"/>
    </w:pPr>
    <w:rPr>
      <w:b/>
      <w:sz w:val="32"/>
    </w:rPr>
  </w:style>
  <w:style w:type="paragraph" w:styleId="4">
    <w:name w:val="heading 4"/>
    <w:basedOn w:val="a"/>
    <w:next w:val="a"/>
    <w:qFormat/>
    <w:pPr>
      <w:keepNext/>
      <w:keepLines/>
      <w:adjustRightInd w:val="0"/>
      <w:snapToGrid w:val="0"/>
      <w:spacing w:line="600" w:lineRule="exact"/>
      <w:ind w:firstLineChars="200" w:firstLine="880"/>
      <w:outlineLvl w:val="3"/>
    </w:pPr>
    <w:rPr>
      <w:rFonts w:ascii="Cambria" w:hAnsi="Cambri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5">
    <w:name w:val="Normal (Web)"/>
    <w:basedOn w:val="a"/>
    <w:qFormat/>
    <w:pPr>
      <w:jc w:val="left"/>
    </w:pPr>
    <w:rPr>
      <w:kern w:val="0"/>
      <w:sz w:val="24"/>
    </w:rPr>
  </w:style>
  <w:style w:type="character" w:styleId="a6">
    <w:name w:val="FollowedHyperlink"/>
    <w:basedOn w:val="a0"/>
    <w:qFormat/>
    <w:rPr>
      <w:color w:val="333333"/>
      <w:u w:val="none"/>
    </w:rPr>
  </w:style>
  <w:style w:type="character" w:styleId="a7">
    <w:name w:val="Hyperlink"/>
    <w:basedOn w:val="a0"/>
    <w:qFormat/>
    <w:rPr>
      <w:color w:val="333333"/>
      <w:u w:val="non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表段落1"/>
    <w:basedOn w:val="a"/>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character" w:customStyle="1" w:styleId="article-date">
    <w:name w:val="article-date"/>
    <w:basedOn w:val="a0"/>
    <w:qFormat/>
  </w:style>
  <w:style w:type="character" w:customStyle="1" w:styleId="layui-this">
    <w:name w:val="layui-this"/>
    <w:basedOn w:val="a0"/>
    <w:qFormat/>
    <w:rPr>
      <w:bdr w:val="single" w:sz="6" w:space="0" w:color="EEEEEE"/>
      <w:shd w:val="clear" w:color="010000" w:fill="FFFFFF"/>
    </w:rPr>
  </w:style>
  <w:style w:type="character" w:customStyle="1" w:styleId="first-child">
    <w:name w:val="first-child"/>
    <w:basedOn w:val="a0"/>
    <w:qFormat/>
  </w:style>
  <w:style w:type="character" w:customStyle="1" w:styleId="layui-laypage-curr">
    <w:name w:val="layui-laypage-curr"/>
    <w:basedOn w:val="a0"/>
    <w:qFormat/>
  </w:style>
  <w:style w:type="paragraph" w:customStyle="1" w:styleId="0">
    <w:name w:val="正文_0"/>
    <w:qFormat/>
    <w:pPr>
      <w:overflowPunct w:val="0"/>
      <w:autoSpaceDE w:val="0"/>
      <w:autoSpaceDN w:val="0"/>
      <w:adjustRightInd w:val="0"/>
      <w:textAlignment w:val="baseline"/>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Cambria" w:hAnsi="Cambria"/>
      <w:b/>
      <w:sz w:val="32"/>
    </w:rPr>
  </w:style>
  <w:style w:type="paragraph" w:styleId="3">
    <w:name w:val="heading 3"/>
    <w:basedOn w:val="a"/>
    <w:next w:val="a"/>
    <w:qFormat/>
    <w:pPr>
      <w:keepNext/>
      <w:keepLines/>
      <w:adjustRightInd w:val="0"/>
      <w:snapToGrid w:val="0"/>
      <w:spacing w:line="600" w:lineRule="exact"/>
      <w:ind w:firstLineChars="200" w:firstLine="880"/>
      <w:outlineLvl w:val="2"/>
    </w:pPr>
    <w:rPr>
      <w:b/>
      <w:sz w:val="32"/>
    </w:rPr>
  </w:style>
  <w:style w:type="paragraph" w:styleId="4">
    <w:name w:val="heading 4"/>
    <w:basedOn w:val="a"/>
    <w:next w:val="a"/>
    <w:qFormat/>
    <w:pPr>
      <w:keepNext/>
      <w:keepLines/>
      <w:adjustRightInd w:val="0"/>
      <w:snapToGrid w:val="0"/>
      <w:spacing w:line="600" w:lineRule="exact"/>
      <w:ind w:firstLineChars="200" w:firstLine="880"/>
      <w:outlineLvl w:val="3"/>
    </w:pPr>
    <w:rPr>
      <w:rFonts w:ascii="Cambria" w:hAnsi="Cambri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5">
    <w:name w:val="Normal (Web)"/>
    <w:basedOn w:val="a"/>
    <w:qFormat/>
    <w:pPr>
      <w:jc w:val="left"/>
    </w:pPr>
    <w:rPr>
      <w:kern w:val="0"/>
      <w:sz w:val="24"/>
    </w:rPr>
  </w:style>
  <w:style w:type="character" w:styleId="a6">
    <w:name w:val="FollowedHyperlink"/>
    <w:basedOn w:val="a0"/>
    <w:qFormat/>
    <w:rPr>
      <w:color w:val="333333"/>
      <w:u w:val="none"/>
    </w:rPr>
  </w:style>
  <w:style w:type="character" w:styleId="a7">
    <w:name w:val="Hyperlink"/>
    <w:basedOn w:val="a0"/>
    <w:qFormat/>
    <w:rPr>
      <w:color w:val="333333"/>
      <w:u w:val="non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表段落1"/>
    <w:basedOn w:val="a"/>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character" w:customStyle="1" w:styleId="article-date">
    <w:name w:val="article-date"/>
    <w:basedOn w:val="a0"/>
    <w:qFormat/>
  </w:style>
  <w:style w:type="character" w:customStyle="1" w:styleId="layui-this">
    <w:name w:val="layui-this"/>
    <w:basedOn w:val="a0"/>
    <w:qFormat/>
    <w:rPr>
      <w:bdr w:val="single" w:sz="6" w:space="0" w:color="EEEEEE"/>
      <w:shd w:val="clear" w:color="010000" w:fill="FFFFFF"/>
    </w:rPr>
  </w:style>
  <w:style w:type="character" w:customStyle="1" w:styleId="first-child">
    <w:name w:val="first-child"/>
    <w:basedOn w:val="a0"/>
    <w:qFormat/>
  </w:style>
  <w:style w:type="character" w:customStyle="1" w:styleId="layui-laypage-curr">
    <w:name w:val="layui-laypage-curr"/>
    <w:basedOn w:val="a0"/>
    <w:qFormat/>
  </w:style>
  <w:style w:type="paragraph" w:customStyle="1" w:styleId="0">
    <w:name w:val="正文_0"/>
    <w:qFormat/>
    <w:pPr>
      <w:overflowPunct w:val="0"/>
      <w:autoSpaceDE w:val="0"/>
      <w:autoSpaceDN w:val="0"/>
      <w:adjustRightInd w:val="0"/>
      <w:textAlignment w:val="baseline"/>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618</Words>
  <Characters>3525</Characters>
  <Application>Microsoft Office Word</Application>
  <DocSecurity>0</DocSecurity>
  <Lines>29</Lines>
  <Paragraphs>8</Paragraphs>
  <ScaleCrop>false</ScaleCrop>
  <Company>lenovo</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黄文海</cp:lastModifiedBy>
  <cp:revision>4</cp:revision>
  <cp:lastPrinted>2018-07-17T16:53:00Z</cp:lastPrinted>
  <dcterms:created xsi:type="dcterms:W3CDTF">2018-09-29T02:02:00Z</dcterms:created>
  <dcterms:modified xsi:type="dcterms:W3CDTF">2018-09-29T02:20:00Z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2052-8.4.0</vt:lpwstr>
  </property>
</Properties>
</file>