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仿宋_GB2312"/>
          <w:b/>
          <w:sz w:val="30"/>
          <w:szCs w:val="30"/>
        </w:rPr>
      </w:pPr>
      <w:r>
        <w:rPr>
          <w:rFonts w:hint="eastAsia" w:ascii="宋体" w:hAnsi="宋体" w:cs="仿宋_GB2312"/>
          <w:b/>
          <w:sz w:val="30"/>
          <w:szCs w:val="30"/>
          <w:lang w:val="en-US" w:eastAsia="zh-CN"/>
        </w:rPr>
        <w:t>全</w:t>
      </w:r>
      <w:r>
        <w:rPr>
          <w:rFonts w:hint="eastAsia" w:ascii="宋体" w:hAnsi="宋体" w:cs="仿宋_GB2312"/>
          <w:b/>
          <w:sz w:val="30"/>
          <w:szCs w:val="30"/>
        </w:rPr>
        <w:t>厂高压电缆冷缩头更换框架协议</w:t>
      </w:r>
    </w:p>
    <w:p>
      <w:pPr>
        <w:rPr>
          <w:rFonts w:hint="eastAsia" w:ascii="宋体" w:hAnsi="宋体"/>
          <w:color w:val="000000"/>
          <w:sz w:val="28"/>
          <w:szCs w:val="28"/>
        </w:rPr>
      </w:pPr>
      <w:r>
        <w:rPr>
          <w:rFonts w:hint="eastAsia" w:ascii="宋体" w:hAnsi="宋体"/>
          <w:color w:val="000000"/>
          <w:sz w:val="28"/>
          <w:szCs w:val="28"/>
        </w:rPr>
        <w:t>甲方：福建省东南电化股份有限公司</w:t>
      </w:r>
    </w:p>
    <w:p>
      <w:pPr>
        <w:rPr>
          <w:rFonts w:hint="eastAsia" w:ascii="宋体" w:hAnsi="宋体"/>
          <w:color w:val="000000"/>
          <w:sz w:val="28"/>
          <w:szCs w:val="28"/>
        </w:rPr>
      </w:pPr>
      <w:r>
        <w:rPr>
          <w:rFonts w:hint="eastAsia" w:ascii="宋体" w:hAnsi="宋体"/>
          <w:color w:val="000000"/>
          <w:sz w:val="28"/>
          <w:szCs w:val="28"/>
        </w:rPr>
        <w:t>乙方：</w:t>
      </w:r>
    </w:p>
    <w:p>
      <w:pPr>
        <w:spacing w:line="360" w:lineRule="auto"/>
        <w:ind w:firstLine="480"/>
        <w:rPr>
          <w:rFonts w:hint="eastAsia"/>
          <w:sz w:val="28"/>
          <w:szCs w:val="28"/>
        </w:rPr>
      </w:pPr>
      <w:r>
        <w:rPr>
          <w:rFonts w:hint="eastAsia"/>
          <w:sz w:val="28"/>
          <w:szCs w:val="28"/>
        </w:rPr>
        <w:t>就乙方承接甲方检维修项目事宜，甲乙双方根据《中华人民共和国合同法》及其他相关法律法规，本着平等互利原则，经友好协商，达成如下协议，共同遵照执行。</w:t>
      </w:r>
    </w:p>
    <w:p>
      <w:pPr>
        <w:spacing w:line="360" w:lineRule="auto"/>
        <w:rPr>
          <w:rFonts w:hint="eastAsia"/>
          <w:sz w:val="28"/>
          <w:szCs w:val="28"/>
        </w:rPr>
      </w:pPr>
      <w:r>
        <w:rPr>
          <w:rFonts w:hint="eastAsia"/>
          <w:sz w:val="28"/>
          <w:szCs w:val="28"/>
        </w:rPr>
        <w:t xml:space="preserve">一、服务概述： </w:t>
      </w:r>
    </w:p>
    <w:p>
      <w:pPr>
        <w:spacing w:line="360" w:lineRule="auto"/>
        <w:rPr>
          <w:rFonts w:hint="eastAsia"/>
          <w:sz w:val="28"/>
          <w:szCs w:val="28"/>
        </w:rPr>
      </w:pPr>
      <w:r>
        <w:rPr>
          <w:rFonts w:hint="eastAsia"/>
          <w:sz w:val="28"/>
          <w:szCs w:val="28"/>
        </w:rPr>
        <w:t>1、 服务范围：甲方委托的甲方厂区</w:t>
      </w:r>
      <w:r>
        <w:rPr>
          <w:rFonts w:hint="eastAsia"/>
          <w:sz w:val="28"/>
          <w:szCs w:val="28"/>
          <w:lang w:val="en-US" w:eastAsia="zh-CN"/>
        </w:rPr>
        <w:t>存在隐患的高压</w:t>
      </w:r>
      <w:r>
        <w:rPr>
          <w:rFonts w:hint="eastAsia" w:ascii="宋体" w:hAnsi="宋体"/>
          <w:sz w:val="28"/>
          <w:szCs w:val="28"/>
          <w:lang w:val="en-US" w:eastAsia="zh-CN"/>
        </w:rPr>
        <w:t>电缆头的更换、安装等工作</w:t>
      </w:r>
      <w:r>
        <w:rPr>
          <w:rFonts w:hint="eastAsia"/>
          <w:sz w:val="28"/>
          <w:szCs w:val="28"/>
        </w:rPr>
        <w:t>。</w:t>
      </w:r>
    </w:p>
    <w:p>
      <w:pPr>
        <w:spacing w:line="520" w:lineRule="exact"/>
        <w:rPr>
          <w:rFonts w:hint="eastAsia" w:ascii="宋体" w:hAnsi="宋体" w:cs="仿宋_GB2312"/>
          <w:sz w:val="28"/>
          <w:szCs w:val="28"/>
        </w:rPr>
      </w:pPr>
      <w:r>
        <w:rPr>
          <w:rFonts w:hint="eastAsia"/>
          <w:sz w:val="28"/>
          <w:szCs w:val="28"/>
        </w:rPr>
        <w:t>2、 服务地点：</w:t>
      </w:r>
      <w:r>
        <w:rPr>
          <w:rFonts w:hint="eastAsia" w:ascii="宋体" w:hAnsi="宋体" w:cs="仿宋_GB2312"/>
          <w:sz w:val="28"/>
          <w:szCs w:val="28"/>
        </w:rPr>
        <w:t>甲方</w:t>
      </w:r>
      <w:r>
        <w:rPr>
          <w:rFonts w:hint="eastAsia" w:ascii="宋体" w:hAnsi="宋体" w:cs="仿宋_GB2312"/>
          <w:sz w:val="28"/>
          <w:szCs w:val="28"/>
          <w:lang w:val="en-US" w:eastAsia="zh-CN"/>
        </w:rPr>
        <w:t>厂区</w:t>
      </w:r>
    </w:p>
    <w:p>
      <w:pPr>
        <w:spacing w:line="360" w:lineRule="auto"/>
        <w:rPr>
          <w:rFonts w:hint="eastAsia"/>
          <w:sz w:val="28"/>
          <w:szCs w:val="28"/>
        </w:rPr>
      </w:pPr>
      <w:r>
        <w:rPr>
          <w:rFonts w:hint="eastAsia"/>
          <w:sz w:val="28"/>
          <w:szCs w:val="28"/>
        </w:rPr>
        <w:t>3、 服务方式：乙方根据甲方需求到现场进行技术服务。</w:t>
      </w:r>
    </w:p>
    <w:p>
      <w:pPr>
        <w:spacing w:line="360" w:lineRule="auto"/>
        <w:rPr>
          <w:rFonts w:hint="eastAsia"/>
          <w:sz w:val="28"/>
          <w:szCs w:val="28"/>
        </w:rPr>
      </w:pPr>
      <w:r>
        <w:rPr>
          <w:rFonts w:hint="eastAsia"/>
          <w:sz w:val="28"/>
          <w:szCs w:val="28"/>
        </w:rPr>
        <w:t xml:space="preserve">二、服务内容和要求  </w:t>
      </w:r>
    </w:p>
    <w:p>
      <w:pPr>
        <w:spacing w:line="360" w:lineRule="auto"/>
        <w:rPr>
          <w:rFonts w:hint="eastAsia"/>
          <w:sz w:val="28"/>
          <w:szCs w:val="28"/>
        </w:rPr>
      </w:pPr>
      <w:r>
        <w:rPr>
          <w:rFonts w:hint="eastAsia"/>
          <w:sz w:val="28"/>
          <w:szCs w:val="28"/>
        </w:rPr>
        <w:t>1、服务内容</w:t>
      </w:r>
    </w:p>
    <w:p>
      <w:pPr>
        <w:spacing w:line="360" w:lineRule="auto"/>
        <w:ind w:firstLine="618" w:firstLineChars="221"/>
        <w:rPr>
          <w:rFonts w:hint="eastAsia" w:ascii="宋体" w:hAnsi="宋体"/>
          <w:sz w:val="28"/>
          <w:szCs w:val="28"/>
          <w:lang w:val="en-US" w:eastAsia="zh-CN"/>
        </w:rPr>
      </w:pPr>
      <w:r>
        <w:rPr>
          <w:rFonts w:hint="eastAsia"/>
          <w:sz w:val="28"/>
          <w:szCs w:val="28"/>
        </w:rPr>
        <w:t>乙方按照相关服务内容项</w:t>
      </w:r>
      <w:r>
        <w:rPr>
          <w:rFonts w:hint="eastAsia"/>
          <w:sz w:val="28"/>
          <w:szCs w:val="28"/>
          <w:lang w:val="en-US" w:eastAsia="zh-CN"/>
        </w:rPr>
        <w:t>对</w:t>
      </w:r>
      <w:r>
        <w:rPr>
          <w:rFonts w:hint="eastAsia" w:ascii="宋体" w:hAnsi="宋体"/>
          <w:sz w:val="28"/>
          <w:szCs w:val="28"/>
          <w:lang w:val="en-US" w:eastAsia="zh-CN"/>
        </w:rPr>
        <w:t>厂区内存在隐患的高压电缆冷缩头的更换、安装。</w:t>
      </w:r>
    </w:p>
    <w:p>
      <w:pPr>
        <w:spacing w:line="360" w:lineRule="auto"/>
        <w:ind w:firstLine="618" w:firstLineChars="221"/>
        <w:rPr>
          <w:rFonts w:hint="eastAsia"/>
          <w:sz w:val="28"/>
          <w:szCs w:val="28"/>
          <w:lang w:val="en-US" w:eastAsia="zh-CN"/>
        </w:rPr>
      </w:pPr>
      <w:r>
        <w:rPr>
          <w:rFonts w:hint="eastAsia"/>
          <w:sz w:val="28"/>
          <w:szCs w:val="28"/>
          <w:lang w:val="en-US" w:eastAsia="zh-CN"/>
        </w:rPr>
        <w:t>主要工作包括：</w:t>
      </w:r>
    </w:p>
    <w:p>
      <w:pPr>
        <w:numPr>
          <w:ilvl w:val="0"/>
          <w:numId w:val="1"/>
        </w:numPr>
        <w:spacing w:line="360" w:lineRule="auto"/>
        <w:ind w:firstLine="618" w:firstLineChars="221"/>
        <w:rPr>
          <w:rFonts w:hint="eastAsia" w:ascii="宋体" w:hAnsi="宋体"/>
          <w:sz w:val="28"/>
          <w:szCs w:val="28"/>
          <w:lang w:val="en-US" w:eastAsia="zh-CN"/>
        </w:rPr>
      </w:pPr>
      <w:r>
        <w:rPr>
          <w:rFonts w:hint="eastAsia" w:ascii="宋体" w:hAnsi="宋体"/>
          <w:sz w:val="28"/>
          <w:szCs w:val="28"/>
          <w:lang w:val="en-US" w:eastAsia="zh-CN"/>
        </w:rPr>
        <w:t>旧电缆终端的拆解</w:t>
      </w:r>
    </w:p>
    <w:p>
      <w:pPr>
        <w:numPr>
          <w:ilvl w:val="0"/>
          <w:numId w:val="1"/>
        </w:numPr>
        <w:spacing w:line="360" w:lineRule="auto"/>
        <w:ind w:firstLine="618" w:firstLineChars="221"/>
        <w:rPr>
          <w:rFonts w:hint="eastAsia" w:ascii="宋体" w:hAnsi="宋体"/>
          <w:sz w:val="28"/>
          <w:szCs w:val="28"/>
          <w:lang w:val="en-US" w:eastAsia="zh-CN"/>
        </w:rPr>
      </w:pPr>
      <w:r>
        <w:rPr>
          <w:rFonts w:hint="eastAsia" w:ascii="宋体" w:hAnsi="宋体"/>
          <w:sz w:val="28"/>
          <w:szCs w:val="28"/>
          <w:lang w:val="en-US" w:eastAsia="zh-CN"/>
        </w:rPr>
        <w:t>电缆的移动</w:t>
      </w:r>
    </w:p>
    <w:p>
      <w:pPr>
        <w:numPr>
          <w:ilvl w:val="0"/>
          <w:numId w:val="1"/>
        </w:numPr>
        <w:spacing w:line="360" w:lineRule="auto"/>
        <w:ind w:firstLine="618" w:firstLineChars="221"/>
        <w:rPr>
          <w:rFonts w:hint="eastAsia" w:ascii="宋体" w:hAnsi="宋体"/>
          <w:sz w:val="28"/>
          <w:szCs w:val="28"/>
          <w:lang w:val="en-US" w:eastAsia="zh-CN"/>
        </w:rPr>
      </w:pPr>
      <w:r>
        <w:rPr>
          <w:rFonts w:hint="eastAsia" w:ascii="宋体" w:hAnsi="宋体"/>
          <w:sz w:val="28"/>
          <w:szCs w:val="28"/>
          <w:lang w:val="en-US" w:eastAsia="zh-CN"/>
        </w:rPr>
        <w:t>电缆终端的更换、安装</w:t>
      </w:r>
    </w:p>
    <w:p>
      <w:pPr>
        <w:spacing w:line="360" w:lineRule="auto"/>
        <w:rPr>
          <w:rFonts w:hint="eastAsia"/>
          <w:sz w:val="28"/>
          <w:szCs w:val="28"/>
        </w:rPr>
      </w:pPr>
      <w:r>
        <w:rPr>
          <w:rFonts w:hint="eastAsia"/>
          <w:sz w:val="28"/>
          <w:szCs w:val="28"/>
        </w:rPr>
        <w:t>2、服务要求</w:t>
      </w:r>
    </w:p>
    <w:p>
      <w:pPr>
        <w:spacing w:line="360" w:lineRule="auto"/>
        <w:ind w:firstLine="560" w:firstLineChars="200"/>
        <w:rPr>
          <w:rFonts w:hint="eastAsia"/>
          <w:sz w:val="28"/>
          <w:szCs w:val="28"/>
        </w:rPr>
      </w:pPr>
      <w:r>
        <w:rPr>
          <w:rFonts w:hint="eastAsia"/>
          <w:sz w:val="28"/>
          <w:szCs w:val="28"/>
        </w:rPr>
        <w:t>2.1、紧急故障处理：需紧急处理时，乙方在接到故障处理任务时必须在</w:t>
      </w:r>
      <w:r>
        <w:rPr>
          <w:rFonts w:hint="eastAsia"/>
          <w:sz w:val="28"/>
          <w:szCs w:val="28"/>
          <w:lang w:val="en-US" w:eastAsia="zh-CN"/>
        </w:rPr>
        <w:t>3</w:t>
      </w:r>
      <w:r>
        <w:rPr>
          <w:rFonts w:hint="eastAsia"/>
          <w:sz w:val="28"/>
          <w:szCs w:val="28"/>
        </w:rPr>
        <w:t>个小时内到达甲方现场；</w:t>
      </w:r>
    </w:p>
    <w:p>
      <w:pPr>
        <w:spacing w:line="360" w:lineRule="auto"/>
        <w:ind w:firstLine="560" w:firstLineChars="200"/>
        <w:rPr>
          <w:rFonts w:hint="eastAsia"/>
          <w:sz w:val="28"/>
          <w:szCs w:val="28"/>
        </w:rPr>
      </w:pPr>
      <w:r>
        <w:rPr>
          <w:rFonts w:hint="eastAsia"/>
          <w:sz w:val="28"/>
          <w:szCs w:val="28"/>
        </w:rPr>
        <w:t>2.2、技术服务结果：所服务的设备以能达到正常使用为原则。</w:t>
      </w:r>
    </w:p>
    <w:p>
      <w:pPr>
        <w:spacing w:line="360" w:lineRule="auto"/>
        <w:rPr>
          <w:rFonts w:hint="eastAsia"/>
          <w:sz w:val="28"/>
          <w:szCs w:val="28"/>
        </w:rPr>
      </w:pPr>
      <w:r>
        <w:rPr>
          <w:rFonts w:hint="eastAsia"/>
          <w:sz w:val="28"/>
          <w:szCs w:val="28"/>
        </w:rPr>
        <w:t>3 、 质量保证</w:t>
      </w:r>
    </w:p>
    <w:p>
      <w:pPr>
        <w:spacing w:line="360" w:lineRule="auto"/>
        <w:ind w:firstLine="560" w:firstLineChars="200"/>
        <w:rPr>
          <w:rFonts w:hint="eastAsia"/>
          <w:sz w:val="28"/>
          <w:szCs w:val="28"/>
        </w:rPr>
      </w:pPr>
      <w:r>
        <w:rPr>
          <w:rFonts w:hint="eastAsia"/>
          <w:sz w:val="28"/>
          <w:szCs w:val="28"/>
        </w:rPr>
        <w:t xml:space="preserve">3.1 乙方应建立质量保证体系，确保服务质量符合要求。 </w:t>
      </w:r>
    </w:p>
    <w:p>
      <w:pPr>
        <w:spacing w:line="360" w:lineRule="auto"/>
        <w:ind w:firstLine="560" w:firstLineChars="200"/>
        <w:rPr>
          <w:rFonts w:hint="eastAsia"/>
          <w:sz w:val="28"/>
          <w:szCs w:val="28"/>
        </w:rPr>
      </w:pPr>
      <w:r>
        <w:rPr>
          <w:rFonts w:hint="eastAsia"/>
          <w:sz w:val="28"/>
          <w:szCs w:val="28"/>
        </w:rPr>
        <w:t>3.2 甲方有权在任何时间，就服务对乙方的质量体系和记录进行检查及监督。</w:t>
      </w:r>
    </w:p>
    <w:p>
      <w:pPr>
        <w:spacing w:line="360" w:lineRule="auto"/>
        <w:ind w:firstLine="560" w:firstLineChars="200"/>
        <w:rPr>
          <w:rFonts w:hint="eastAsia"/>
          <w:sz w:val="28"/>
          <w:szCs w:val="28"/>
        </w:rPr>
      </w:pPr>
      <w:r>
        <w:rPr>
          <w:rFonts w:hint="eastAsia"/>
          <w:sz w:val="28"/>
          <w:szCs w:val="28"/>
        </w:rPr>
        <w:t xml:space="preserve">3.3 对质量保证体系的遵守不免除或减轻乙方在本协议下承担的任何责任、义务或职责。  </w:t>
      </w:r>
    </w:p>
    <w:p>
      <w:pPr>
        <w:spacing w:line="360" w:lineRule="auto"/>
        <w:ind w:firstLine="560" w:firstLineChars="200"/>
        <w:rPr>
          <w:rFonts w:hint="eastAsia"/>
          <w:sz w:val="28"/>
          <w:szCs w:val="28"/>
        </w:rPr>
      </w:pPr>
      <w:r>
        <w:rPr>
          <w:rFonts w:hint="eastAsia"/>
          <w:sz w:val="28"/>
          <w:szCs w:val="28"/>
        </w:rPr>
        <w:t>3.4 质保期：自维修后运行正常算起为</w:t>
      </w:r>
      <w:r>
        <w:rPr>
          <w:rFonts w:hint="eastAsia"/>
          <w:sz w:val="28"/>
          <w:szCs w:val="28"/>
          <w:lang w:val="en-US" w:eastAsia="zh-CN"/>
        </w:rPr>
        <w:t>24</w:t>
      </w:r>
      <w:r>
        <w:rPr>
          <w:rFonts w:hint="eastAsia"/>
          <w:sz w:val="28"/>
          <w:szCs w:val="28"/>
        </w:rPr>
        <w:t>个月，如在质保期内出现维修问题由乙方承担后续无偿维修服务。</w:t>
      </w:r>
    </w:p>
    <w:p>
      <w:pPr>
        <w:spacing w:line="360" w:lineRule="auto"/>
        <w:rPr>
          <w:rFonts w:hint="eastAsia"/>
          <w:sz w:val="28"/>
          <w:szCs w:val="28"/>
        </w:rPr>
      </w:pPr>
      <w:r>
        <w:rPr>
          <w:rFonts w:hint="eastAsia"/>
          <w:sz w:val="28"/>
          <w:szCs w:val="28"/>
        </w:rPr>
        <w:t xml:space="preserve">4、工作量确认 </w:t>
      </w:r>
    </w:p>
    <w:p>
      <w:pPr>
        <w:spacing w:line="360" w:lineRule="auto"/>
        <w:ind w:firstLine="480"/>
        <w:rPr>
          <w:rFonts w:hint="eastAsia"/>
          <w:sz w:val="28"/>
          <w:szCs w:val="28"/>
        </w:rPr>
      </w:pPr>
      <w:r>
        <w:rPr>
          <w:rFonts w:hint="eastAsia"/>
          <w:sz w:val="28"/>
          <w:szCs w:val="28"/>
        </w:rPr>
        <w:t>工程量以现场服务确认单的形式提交甲方，由甲方相关技术人员进行验收并对工作量做最终确认。</w:t>
      </w:r>
    </w:p>
    <w:p>
      <w:pPr>
        <w:spacing w:line="360" w:lineRule="auto"/>
        <w:rPr>
          <w:rFonts w:hint="eastAsia"/>
          <w:sz w:val="28"/>
          <w:szCs w:val="28"/>
        </w:rPr>
      </w:pPr>
      <w:r>
        <w:rPr>
          <w:rFonts w:hint="eastAsia"/>
          <w:sz w:val="28"/>
          <w:szCs w:val="28"/>
        </w:rPr>
        <w:t>三 、双方责任</w:t>
      </w:r>
    </w:p>
    <w:p>
      <w:pPr>
        <w:spacing w:line="360" w:lineRule="auto"/>
        <w:rPr>
          <w:rFonts w:hint="eastAsia"/>
          <w:sz w:val="28"/>
          <w:szCs w:val="28"/>
        </w:rPr>
      </w:pPr>
      <w:r>
        <w:rPr>
          <w:rFonts w:hint="eastAsia"/>
          <w:sz w:val="28"/>
          <w:szCs w:val="28"/>
        </w:rPr>
        <w:t>1、甲方工作</w:t>
      </w:r>
    </w:p>
    <w:p>
      <w:pPr>
        <w:spacing w:line="360" w:lineRule="auto"/>
        <w:ind w:firstLine="560" w:firstLineChars="200"/>
        <w:rPr>
          <w:rFonts w:hint="eastAsia"/>
          <w:sz w:val="28"/>
          <w:szCs w:val="28"/>
        </w:rPr>
      </w:pPr>
      <w:r>
        <w:rPr>
          <w:rFonts w:hint="eastAsia"/>
          <w:sz w:val="28"/>
          <w:szCs w:val="28"/>
        </w:rPr>
        <w:t>1.1甲方有权对现场维护项目及场外维修项目硬件的质量、进度、安全等进行监督检查，协调检维修施工中的有关事宜，并对乙方检维修施工进行全过程跟踪监督和管理。乙方履行协调义务或受甲方监督检查，均不代表甲方承诺对乙方的行为承担任何责任，更不因此构成对乙方所应承担的各项责任和义务的减轻或豁免。</w:t>
      </w:r>
    </w:p>
    <w:p>
      <w:pPr>
        <w:spacing w:line="360" w:lineRule="auto"/>
        <w:ind w:firstLine="560" w:firstLineChars="200"/>
        <w:rPr>
          <w:rFonts w:hint="eastAsia"/>
          <w:sz w:val="28"/>
          <w:szCs w:val="28"/>
        </w:rPr>
      </w:pPr>
      <w:r>
        <w:rPr>
          <w:rFonts w:hint="eastAsia"/>
          <w:sz w:val="28"/>
          <w:szCs w:val="28"/>
        </w:rPr>
        <w:t>1.2甲方为乙方的检维修服务提供配合。</w:t>
      </w:r>
    </w:p>
    <w:p>
      <w:pPr>
        <w:spacing w:line="360" w:lineRule="auto"/>
        <w:rPr>
          <w:rFonts w:hint="eastAsia"/>
          <w:sz w:val="28"/>
          <w:szCs w:val="28"/>
        </w:rPr>
      </w:pPr>
      <w:r>
        <w:rPr>
          <w:rFonts w:hint="eastAsia"/>
          <w:sz w:val="28"/>
          <w:szCs w:val="28"/>
        </w:rPr>
        <w:t>2、乙方工作</w:t>
      </w:r>
    </w:p>
    <w:p>
      <w:pPr>
        <w:spacing w:line="360" w:lineRule="auto"/>
        <w:ind w:firstLine="560" w:firstLineChars="200"/>
        <w:rPr>
          <w:rFonts w:hint="eastAsia"/>
          <w:sz w:val="28"/>
          <w:szCs w:val="28"/>
        </w:rPr>
      </w:pPr>
      <w:r>
        <w:rPr>
          <w:rFonts w:hint="eastAsia"/>
          <w:sz w:val="28"/>
          <w:szCs w:val="28"/>
        </w:rPr>
        <w:t>2.1 检维修结束后乙方向甲方提供更换的配件清单一式二份。</w:t>
      </w:r>
    </w:p>
    <w:p>
      <w:pPr>
        <w:spacing w:line="360" w:lineRule="auto"/>
        <w:ind w:firstLine="560" w:firstLineChars="200"/>
        <w:rPr>
          <w:rFonts w:hint="eastAsia"/>
          <w:sz w:val="28"/>
          <w:szCs w:val="28"/>
        </w:rPr>
      </w:pPr>
      <w:r>
        <w:rPr>
          <w:rFonts w:hint="eastAsia"/>
          <w:sz w:val="28"/>
          <w:szCs w:val="28"/>
        </w:rPr>
        <w:t>2.2 严格按本合同约定及甲方要求的质量、进度进行安全文明检维修施工。</w:t>
      </w:r>
    </w:p>
    <w:p>
      <w:pPr>
        <w:spacing w:line="360" w:lineRule="auto"/>
        <w:ind w:firstLine="560" w:firstLineChars="200"/>
        <w:rPr>
          <w:rFonts w:hint="eastAsia"/>
          <w:sz w:val="28"/>
          <w:szCs w:val="28"/>
        </w:rPr>
      </w:pPr>
      <w:r>
        <w:rPr>
          <w:rFonts w:hint="eastAsia"/>
          <w:sz w:val="28"/>
          <w:szCs w:val="28"/>
        </w:rPr>
        <w:t>2.3必须服从甲方的管理。</w:t>
      </w:r>
    </w:p>
    <w:p>
      <w:pPr>
        <w:spacing w:line="360" w:lineRule="auto"/>
        <w:ind w:firstLine="560" w:firstLineChars="200"/>
        <w:rPr>
          <w:rFonts w:hint="eastAsia"/>
          <w:sz w:val="28"/>
          <w:szCs w:val="28"/>
        </w:rPr>
      </w:pPr>
      <w:r>
        <w:rPr>
          <w:rFonts w:hint="eastAsia"/>
          <w:sz w:val="28"/>
          <w:szCs w:val="28"/>
        </w:rPr>
        <w:t>2.4制定和优化质量保证体系，有效控制检维修施工质量。</w:t>
      </w:r>
    </w:p>
    <w:p>
      <w:pPr>
        <w:spacing w:line="360" w:lineRule="auto"/>
        <w:ind w:firstLine="560" w:firstLineChars="200"/>
        <w:rPr>
          <w:rFonts w:hint="eastAsia"/>
          <w:sz w:val="28"/>
          <w:szCs w:val="28"/>
        </w:rPr>
      </w:pPr>
      <w:r>
        <w:rPr>
          <w:rFonts w:hint="eastAsia"/>
          <w:sz w:val="28"/>
          <w:szCs w:val="28"/>
        </w:rPr>
        <w:t>2.5乙方人员必须遵纪守法，乙方人员发生的违法、乱纪（盗窃、打架斗殴）事件，乙方承担由此造成法律责任和各种经济损失。</w:t>
      </w:r>
    </w:p>
    <w:p>
      <w:pPr>
        <w:spacing w:line="360" w:lineRule="auto"/>
        <w:ind w:firstLine="560" w:firstLineChars="200"/>
        <w:rPr>
          <w:rFonts w:hint="eastAsia"/>
          <w:sz w:val="28"/>
          <w:szCs w:val="28"/>
        </w:rPr>
      </w:pPr>
      <w:r>
        <w:rPr>
          <w:rFonts w:hint="eastAsia"/>
          <w:sz w:val="28"/>
          <w:szCs w:val="28"/>
        </w:rPr>
        <w:t>2.6乙方对现场安全防护设施在施工中应严加保护，若必须拆除时应由甲方批准后方可变动，施工完毕必须恢复。按照安全文明的有关规定组织施工，施工现场料、物具堆放有序，整洁卫生，达到工完、料尽、场地清。</w:t>
      </w:r>
    </w:p>
    <w:p>
      <w:pPr>
        <w:spacing w:line="360" w:lineRule="auto"/>
        <w:ind w:firstLine="560" w:firstLineChars="200"/>
        <w:rPr>
          <w:rFonts w:hint="eastAsia"/>
          <w:sz w:val="28"/>
          <w:szCs w:val="28"/>
        </w:rPr>
      </w:pPr>
      <w:r>
        <w:rPr>
          <w:rFonts w:hint="eastAsia"/>
          <w:sz w:val="28"/>
          <w:szCs w:val="28"/>
        </w:rPr>
        <w:t>2.7施工安全责任由乙方承担，发生各类安全事故，乙方应及时报告甲方，不得隐瞒。甲方有权根据有关规定组织、参与事故的调查处理。</w:t>
      </w:r>
    </w:p>
    <w:p>
      <w:pPr>
        <w:spacing w:line="360" w:lineRule="auto"/>
        <w:ind w:firstLine="560" w:firstLineChars="200"/>
        <w:rPr>
          <w:rFonts w:hint="eastAsia"/>
          <w:sz w:val="28"/>
          <w:szCs w:val="28"/>
        </w:rPr>
      </w:pPr>
      <w:r>
        <w:rPr>
          <w:rFonts w:hint="eastAsia"/>
          <w:sz w:val="28"/>
          <w:szCs w:val="28"/>
        </w:rPr>
        <w:t>2.8 乙方工作人员进入施工现场实行进出场登记制度（登记身份证的全部信息），登记表由乙方项目负责人签字认可后提交甲方。</w:t>
      </w:r>
    </w:p>
    <w:p>
      <w:pPr>
        <w:spacing w:line="360" w:lineRule="auto"/>
        <w:rPr>
          <w:rFonts w:hint="eastAsia"/>
          <w:sz w:val="28"/>
          <w:szCs w:val="28"/>
        </w:rPr>
      </w:pPr>
      <w:r>
        <w:rPr>
          <w:rFonts w:hint="eastAsia"/>
          <w:sz w:val="28"/>
          <w:szCs w:val="28"/>
        </w:rPr>
        <w:t>3、乙方应遵守以下安全条件：</w:t>
      </w:r>
    </w:p>
    <w:p>
      <w:pPr>
        <w:spacing w:line="360" w:lineRule="auto"/>
        <w:ind w:firstLine="560" w:firstLineChars="200"/>
        <w:rPr>
          <w:rFonts w:hint="eastAsia"/>
          <w:sz w:val="28"/>
          <w:szCs w:val="28"/>
        </w:rPr>
      </w:pPr>
      <w:r>
        <w:rPr>
          <w:rFonts w:hint="eastAsia"/>
          <w:sz w:val="28"/>
          <w:szCs w:val="28"/>
        </w:rPr>
        <w:t>3.1应办临时出入证，进入现场应进行“三级”(即厂级、车间级、班组级)安全教育。</w:t>
      </w:r>
    </w:p>
    <w:p>
      <w:pPr>
        <w:spacing w:line="360" w:lineRule="auto"/>
        <w:ind w:firstLine="560" w:firstLineChars="200"/>
        <w:rPr>
          <w:rFonts w:hint="eastAsia"/>
          <w:sz w:val="28"/>
          <w:szCs w:val="28"/>
        </w:rPr>
      </w:pPr>
      <w:r>
        <w:rPr>
          <w:rFonts w:hint="eastAsia"/>
          <w:sz w:val="28"/>
          <w:szCs w:val="28"/>
        </w:rPr>
        <w:t>3.2应认真贯彻执行国家《安全生产法》、《安全生产条例》、《消防法》、《环境保护法》、《劳动法》和《职业卫生防治法》等法律法规，以及遵守“甲方”的各项安全管理制度。</w:t>
      </w:r>
    </w:p>
    <w:p>
      <w:pPr>
        <w:spacing w:line="360" w:lineRule="auto"/>
        <w:ind w:firstLine="560" w:firstLineChars="200"/>
        <w:rPr>
          <w:rFonts w:hint="eastAsia"/>
          <w:sz w:val="28"/>
          <w:szCs w:val="28"/>
        </w:rPr>
      </w:pPr>
      <w:r>
        <w:rPr>
          <w:rFonts w:hint="eastAsia"/>
          <w:sz w:val="28"/>
          <w:szCs w:val="28"/>
        </w:rPr>
        <w:t>3.3应按规定穿戴好劳动保护用品，进入检修现场须戴好安全帽，登高作业须佩带好安全带，禁止穿拖鞋。</w:t>
      </w:r>
    </w:p>
    <w:p>
      <w:pPr>
        <w:spacing w:line="360" w:lineRule="auto"/>
        <w:ind w:firstLine="560" w:firstLineChars="200"/>
        <w:rPr>
          <w:rFonts w:hint="eastAsia"/>
          <w:sz w:val="28"/>
          <w:szCs w:val="28"/>
        </w:rPr>
      </w:pPr>
      <w:r>
        <w:rPr>
          <w:rFonts w:hint="eastAsia"/>
          <w:sz w:val="28"/>
          <w:szCs w:val="28"/>
        </w:rPr>
        <w:t>3.4应严格遵守防火防爆等禁令和规定，不准携带火种等危险物品进入生产区，严禁在厂区内抽烟。</w:t>
      </w:r>
    </w:p>
    <w:p>
      <w:pPr>
        <w:spacing w:line="360" w:lineRule="auto"/>
        <w:ind w:firstLine="560" w:firstLineChars="200"/>
        <w:rPr>
          <w:rFonts w:hint="eastAsia"/>
          <w:sz w:val="28"/>
          <w:szCs w:val="28"/>
        </w:rPr>
      </w:pPr>
      <w:r>
        <w:rPr>
          <w:rFonts w:hint="eastAsia"/>
          <w:sz w:val="28"/>
          <w:szCs w:val="28"/>
        </w:rPr>
        <w:t>3.5严禁酒后上班，上班期间严禁饮酒、赌博。</w:t>
      </w:r>
    </w:p>
    <w:p>
      <w:pPr>
        <w:spacing w:line="360" w:lineRule="auto"/>
        <w:ind w:firstLine="560" w:firstLineChars="200"/>
        <w:rPr>
          <w:rFonts w:hint="eastAsia"/>
          <w:sz w:val="28"/>
          <w:szCs w:val="28"/>
        </w:rPr>
      </w:pPr>
      <w:r>
        <w:rPr>
          <w:rFonts w:hint="eastAsia"/>
          <w:sz w:val="28"/>
          <w:szCs w:val="28"/>
        </w:rPr>
        <w:t>3.6进入厂区的车辆应遵守厂内交通管理有关规定和各种安全制度，申报厂内临时通行证，按厂内行停车标志认真执行。</w:t>
      </w:r>
    </w:p>
    <w:p>
      <w:pPr>
        <w:spacing w:line="360" w:lineRule="auto"/>
        <w:rPr>
          <w:rFonts w:hint="eastAsia"/>
          <w:sz w:val="28"/>
          <w:szCs w:val="28"/>
        </w:rPr>
      </w:pPr>
      <w:r>
        <w:rPr>
          <w:rFonts w:hint="eastAsia"/>
          <w:sz w:val="28"/>
          <w:szCs w:val="28"/>
        </w:rPr>
        <w:t>四、服务费及付款程序</w:t>
      </w:r>
    </w:p>
    <w:p>
      <w:pPr>
        <w:spacing w:line="360" w:lineRule="auto"/>
        <w:rPr>
          <w:rFonts w:hint="eastAsia"/>
          <w:sz w:val="28"/>
          <w:szCs w:val="28"/>
        </w:rPr>
      </w:pPr>
      <w:bookmarkStart w:id="0" w:name="_Toc288221916"/>
      <w:bookmarkStart w:id="1" w:name="_Toc290130124"/>
      <w:bookmarkStart w:id="2" w:name="_Toc290129870"/>
      <w:bookmarkStart w:id="3" w:name="_Toc290294383"/>
      <w:r>
        <w:rPr>
          <w:rFonts w:hint="eastAsia"/>
          <w:sz w:val="28"/>
          <w:szCs w:val="28"/>
        </w:rPr>
        <w:t>1、服务费</w:t>
      </w:r>
      <w:bookmarkEnd w:id="0"/>
      <w:bookmarkEnd w:id="1"/>
      <w:bookmarkEnd w:id="2"/>
      <w:bookmarkEnd w:id="3"/>
      <w:r>
        <w:rPr>
          <w:rFonts w:hint="eastAsia"/>
          <w:sz w:val="28"/>
          <w:szCs w:val="28"/>
        </w:rPr>
        <w:t xml:space="preserve">用  </w:t>
      </w:r>
    </w:p>
    <w:p>
      <w:pPr>
        <w:spacing w:line="360" w:lineRule="auto"/>
        <w:ind w:firstLine="480"/>
        <w:rPr>
          <w:rFonts w:hint="eastAsia"/>
          <w:sz w:val="28"/>
          <w:szCs w:val="28"/>
        </w:rPr>
      </w:pPr>
      <w:r>
        <w:rPr>
          <w:rFonts w:hint="eastAsia"/>
          <w:sz w:val="28"/>
          <w:szCs w:val="28"/>
          <w:lang w:val="en-US" w:eastAsia="zh-CN"/>
        </w:rPr>
        <w:t>全厂高压电缆冷缩头更换框架协议</w:t>
      </w:r>
      <w:r>
        <w:rPr>
          <w:rFonts w:hint="eastAsia"/>
          <w:sz w:val="28"/>
          <w:szCs w:val="28"/>
        </w:rPr>
        <w:t>费用为</w:t>
      </w:r>
      <w:r>
        <w:rPr>
          <w:rFonts w:hint="eastAsia"/>
          <w:sz w:val="28"/>
          <w:szCs w:val="28"/>
          <w:lang w:val="en-US" w:eastAsia="zh-CN"/>
        </w:rPr>
        <w:t>设备</w:t>
      </w:r>
      <w:r>
        <w:rPr>
          <w:rFonts w:hint="eastAsia"/>
          <w:sz w:val="28"/>
          <w:szCs w:val="28"/>
        </w:rPr>
        <w:t>服务费用（</w:t>
      </w:r>
      <w:r>
        <w:rPr>
          <w:rFonts w:hint="eastAsia" w:ascii="宋体" w:hAnsi="宋体"/>
          <w:sz w:val="28"/>
          <w:szCs w:val="28"/>
          <w:lang w:val="en-US" w:eastAsia="zh-CN"/>
        </w:rPr>
        <w:t>含16%增值税</w:t>
      </w:r>
      <w:r>
        <w:rPr>
          <w:rFonts w:hint="eastAsia"/>
          <w:sz w:val="28"/>
          <w:szCs w:val="28"/>
        </w:rPr>
        <w:t>）</w:t>
      </w:r>
      <w:r>
        <w:rPr>
          <w:rFonts w:hint="eastAsia"/>
          <w:sz w:val="28"/>
          <w:szCs w:val="28"/>
          <w:lang w:val="en-US" w:eastAsia="zh-CN"/>
        </w:rPr>
        <w:t>，</w:t>
      </w:r>
      <w:r>
        <w:rPr>
          <w:rFonts w:hint="eastAsia"/>
          <w:sz w:val="28"/>
          <w:szCs w:val="28"/>
        </w:rPr>
        <w:t>具体价格根据</w:t>
      </w:r>
      <w:r>
        <w:rPr>
          <w:rFonts w:hint="eastAsia"/>
          <w:sz w:val="28"/>
          <w:szCs w:val="28"/>
          <w:lang w:val="en-US" w:eastAsia="zh-CN"/>
        </w:rPr>
        <w:t>维护</w:t>
      </w:r>
      <w:r>
        <w:rPr>
          <w:rFonts w:hint="eastAsia"/>
          <w:sz w:val="28"/>
          <w:szCs w:val="28"/>
        </w:rPr>
        <w:t>清单</w:t>
      </w:r>
      <w:r>
        <w:rPr>
          <w:rFonts w:hint="eastAsia"/>
          <w:sz w:val="28"/>
          <w:szCs w:val="28"/>
          <w:lang w:val="en-US" w:eastAsia="zh-CN"/>
        </w:rPr>
        <w:t>单价及维护数量</w:t>
      </w:r>
      <w:r>
        <w:rPr>
          <w:rFonts w:hint="eastAsia"/>
          <w:sz w:val="28"/>
          <w:szCs w:val="28"/>
        </w:rPr>
        <w:t>进行结算</w:t>
      </w:r>
      <w:r>
        <w:rPr>
          <w:rFonts w:hint="eastAsia"/>
          <w:sz w:val="28"/>
          <w:szCs w:val="28"/>
          <w:lang w:eastAsia="zh-CN"/>
        </w:rPr>
        <w:t>。</w:t>
      </w:r>
      <w:r>
        <w:rPr>
          <w:rFonts w:hint="eastAsia" w:ascii="宋体" w:hAnsi="宋体"/>
          <w:sz w:val="28"/>
          <w:szCs w:val="28"/>
        </w:rPr>
        <w:t>   </w:t>
      </w:r>
    </w:p>
    <w:tbl>
      <w:tblPr>
        <w:tblStyle w:val="8"/>
        <w:tblpPr w:leftFromText="180" w:rightFromText="180" w:vertAnchor="text" w:horzAnchor="page" w:tblpX="1463" w:tblpY="1940"/>
        <w:tblOverlap w:val="never"/>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4065"/>
        <w:gridCol w:w="846"/>
        <w:gridCol w:w="409"/>
        <w:gridCol w:w="641"/>
        <w:gridCol w:w="650"/>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354"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4065" w:type="dxa"/>
            <w:vAlign w:val="center"/>
          </w:tcPr>
          <w:p>
            <w:pPr>
              <w:jc w:val="center"/>
              <w:rPr>
                <w:rFonts w:asciiTheme="minorEastAsia" w:hAnsiTheme="minorEastAsia" w:eastAsiaTheme="minorEastAsia"/>
              </w:rPr>
            </w:pPr>
            <w:r>
              <w:rPr>
                <w:rFonts w:hint="eastAsia" w:asciiTheme="minorEastAsia" w:hAnsiTheme="minorEastAsia" w:eastAsiaTheme="minorEastAsia"/>
              </w:rPr>
              <w:t>规格型号</w:t>
            </w:r>
          </w:p>
        </w:tc>
        <w:tc>
          <w:tcPr>
            <w:tcW w:w="846" w:type="dxa"/>
            <w:vAlign w:val="center"/>
          </w:tcPr>
          <w:p>
            <w:pPr>
              <w:jc w:val="center"/>
              <w:rPr>
                <w:rFonts w:asciiTheme="minorEastAsia" w:hAnsiTheme="minorEastAsia" w:eastAsiaTheme="minorEastAsia"/>
              </w:rPr>
            </w:pPr>
            <w:r>
              <w:rPr>
                <w:rFonts w:hint="eastAsia" w:asciiTheme="minorEastAsia" w:hAnsiTheme="minorEastAsia" w:eastAsiaTheme="minorEastAsia"/>
              </w:rPr>
              <w:t>出厂编号</w:t>
            </w:r>
          </w:p>
        </w:tc>
        <w:tc>
          <w:tcPr>
            <w:tcW w:w="409" w:type="dxa"/>
            <w:vAlign w:val="center"/>
          </w:tcPr>
          <w:p>
            <w:pPr>
              <w:jc w:val="center"/>
              <w:rPr>
                <w:rFonts w:asciiTheme="minorEastAsia" w:hAnsiTheme="minorEastAsia" w:eastAsiaTheme="minorEastAsia"/>
              </w:rPr>
            </w:pPr>
            <w:r>
              <w:rPr>
                <w:rFonts w:hint="eastAsia" w:asciiTheme="minorEastAsia" w:hAnsiTheme="minorEastAsia" w:eastAsiaTheme="minorEastAsia"/>
              </w:rPr>
              <w:t>数量</w:t>
            </w:r>
          </w:p>
        </w:tc>
        <w:tc>
          <w:tcPr>
            <w:tcW w:w="641" w:type="dxa"/>
            <w:vAlign w:val="center"/>
          </w:tcPr>
          <w:p>
            <w:pPr>
              <w:jc w:val="center"/>
              <w:rPr>
                <w:rFonts w:asciiTheme="minorEastAsia" w:hAnsiTheme="minorEastAsia" w:eastAsiaTheme="minorEastAsia"/>
              </w:rPr>
            </w:pPr>
            <w:r>
              <w:rPr>
                <w:rFonts w:hint="eastAsia" w:asciiTheme="minorEastAsia" w:hAnsiTheme="minorEastAsia" w:eastAsiaTheme="minorEastAsia"/>
              </w:rPr>
              <w:t>日常维保次数</w:t>
            </w:r>
          </w:p>
          <w:p>
            <w:pPr>
              <w:jc w:val="center"/>
              <w:rPr>
                <w:rFonts w:asciiTheme="minorEastAsia" w:hAnsiTheme="minorEastAsia" w:eastAsiaTheme="minorEastAsia"/>
              </w:rPr>
            </w:pPr>
            <w:r>
              <w:rPr>
                <w:rFonts w:hint="eastAsia" w:asciiTheme="minorEastAsia" w:hAnsiTheme="minorEastAsia" w:eastAsiaTheme="minorEastAsia"/>
              </w:rPr>
              <w:t>（次/年）</w:t>
            </w:r>
          </w:p>
        </w:tc>
        <w:tc>
          <w:tcPr>
            <w:tcW w:w="650" w:type="dxa"/>
            <w:vAlign w:val="center"/>
          </w:tcPr>
          <w:p>
            <w:pPr>
              <w:jc w:val="center"/>
              <w:rPr>
                <w:rFonts w:asciiTheme="minorEastAsia" w:hAnsiTheme="minorEastAsia" w:eastAsiaTheme="minorEastAsia"/>
              </w:rPr>
            </w:pPr>
            <w:r>
              <w:rPr>
                <w:rFonts w:hint="eastAsia" w:asciiTheme="minorEastAsia" w:hAnsiTheme="minorEastAsia" w:eastAsiaTheme="minorEastAsia"/>
              </w:rPr>
              <w:t>单价</w:t>
            </w:r>
          </w:p>
          <w:p>
            <w:pPr>
              <w:jc w:val="center"/>
              <w:rPr>
                <w:rFonts w:asciiTheme="minorEastAsia" w:hAnsiTheme="minorEastAsia" w:eastAsiaTheme="minorEastAsia"/>
              </w:rPr>
            </w:pPr>
            <w:r>
              <w:rPr>
                <w:rFonts w:hint="eastAsia" w:asciiTheme="minorEastAsia" w:hAnsiTheme="minorEastAsia" w:eastAsiaTheme="minorEastAsia"/>
              </w:rPr>
              <w:t>元</w:t>
            </w:r>
          </w:p>
        </w:tc>
        <w:tc>
          <w:tcPr>
            <w:tcW w:w="2203" w:type="dxa"/>
            <w:vAlign w:val="center"/>
          </w:tcPr>
          <w:p>
            <w:pPr>
              <w:jc w:val="center"/>
              <w:rPr>
                <w:rFonts w:asciiTheme="minorEastAsia" w:hAnsiTheme="minorEastAsia" w:eastAsiaTheme="minorEastAsia"/>
              </w:rPr>
            </w:pPr>
            <w:r>
              <w:rPr>
                <w:rFonts w:hint="eastAsia" w:asciiTheme="minorEastAsia" w:hAnsiTheme="minorEastAsia" w:eastAsiaTheme="minorEastAsia"/>
              </w:rPr>
              <w:t>小计</w:t>
            </w:r>
          </w:p>
          <w:p>
            <w:pPr>
              <w:jc w:val="center"/>
              <w:rPr>
                <w:rFonts w:asciiTheme="minorEastAsia" w:hAnsiTheme="minorEastAsia" w:eastAsiaTheme="minorEastAsia"/>
              </w:rPr>
            </w:pPr>
            <w:r>
              <w:rPr>
                <w:rFonts w:hint="eastAsia" w:asciiTheme="minorEastAsia" w:hAnsiTheme="minorEastAsia" w:eastAsiaTheme="minor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354"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4065" w:type="dxa"/>
            <w:vAlign w:val="center"/>
          </w:tcPr>
          <w:p>
            <w:pPr>
              <w:keepNext w:val="0"/>
              <w:keepLines w:val="0"/>
              <w:widowControl/>
              <w:suppressLineNumbers w:val="0"/>
              <w:jc w:val="center"/>
              <w:textAlignment w:val="center"/>
              <w:rPr>
                <w:rFonts w:asciiTheme="minorEastAsia" w:hAnsiTheme="minorEastAsia" w:eastAsiaTheme="minorEastAsia"/>
              </w:rPr>
            </w:pPr>
            <w:r>
              <w:rPr>
                <w:rFonts w:hint="eastAsia" w:ascii="宋体" w:hAnsi="宋体" w:eastAsia="宋体" w:cs="宋体"/>
                <w:i w:val="0"/>
                <w:color w:val="000000"/>
                <w:kern w:val="0"/>
                <w:sz w:val="22"/>
                <w:szCs w:val="22"/>
                <w:u w:val="none"/>
                <w:lang w:val="en-US" w:eastAsia="zh-CN" w:bidi="ar"/>
              </w:rPr>
              <w:t>10KV冷缩单芯户内终端1*70</w:t>
            </w:r>
          </w:p>
        </w:tc>
        <w:tc>
          <w:tcPr>
            <w:tcW w:w="846" w:type="dxa"/>
            <w:vAlign w:val="center"/>
          </w:tcPr>
          <w:p>
            <w:pPr>
              <w:jc w:val="center"/>
              <w:rPr>
                <w:rFonts w:asciiTheme="minorEastAsia" w:hAnsiTheme="minorEastAsia" w:eastAsiaTheme="minorEastAsia"/>
              </w:rPr>
            </w:pPr>
          </w:p>
        </w:tc>
        <w:tc>
          <w:tcPr>
            <w:tcW w:w="409" w:type="dxa"/>
            <w:vAlign w:val="center"/>
          </w:tcPr>
          <w:p>
            <w:pPr>
              <w:widowControl/>
              <w:jc w:val="center"/>
              <w:rPr>
                <w:rFonts w:asciiTheme="minorEastAsia" w:hAnsiTheme="minorEastAsia" w:eastAsiaTheme="minorEastAsia"/>
              </w:rPr>
            </w:pPr>
          </w:p>
        </w:tc>
        <w:tc>
          <w:tcPr>
            <w:tcW w:w="641" w:type="dxa"/>
            <w:vAlign w:val="center"/>
          </w:tcPr>
          <w:p>
            <w:pPr>
              <w:widowControl/>
              <w:jc w:val="center"/>
              <w:rPr>
                <w:rFonts w:asciiTheme="minorEastAsia" w:hAnsiTheme="minorEastAsia" w:eastAsiaTheme="minorEastAsia"/>
              </w:rPr>
            </w:pPr>
          </w:p>
        </w:tc>
        <w:tc>
          <w:tcPr>
            <w:tcW w:w="650" w:type="dxa"/>
            <w:vAlign w:val="center"/>
          </w:tcPr>
          <w:p>
            <w:pPr>
              <w:widowControl/>
              <w:jc w:val="center"/>
              <w:rPr>
                <w:rFonts w:asciiTheme="minorEastAsia" w:hAnsiTheme="minorEastAsia" w:eastAsiaTheme="minorEastAsia"/>
              </w:rPr>
            </w:pPr>
          </w:p>
        </w:tc>
        <w:tc>
          <w:tcPr>
            <w:tcW w:w="2203" w:type="dxa"/>
            <w:vAlign w:val="center"/>
          </w:tcPr>
          <w:p>
            <w:pPr>
              <w:widowControl/>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4065" w:type="dxa"/>
            <w:vAlign w:val="center"/>
          </w:tcPr>
          <w:p>
            <w:pPr>
              <w:keepNext w:val="0"/>
              <w:keepLines w:val="0"/>
              <w:widowControl/>
              <w:suppressLineNumbers w:val="0"/>
              <w:jc w:val="center"/>
              <w:textAlignment w:val="center"/>
              <w:rPr>
                <w:rFonts w:asciiTheme="minorEastAsia" w:hAnsiTheme="minorEastAsia" w:eastAsiaTheme="minorEastAsia"/>
              </w:rPr>
            </w:pPr>
            <w:r>
              <w:rPr>
                <w:rFonts w:hint="eastAsia" w:ascii="宋体" w:hAnsi="宋体" w:eastAsia="宋体" w:cs="宋体"/>
                <w:i w:val="0"/>
                <w:color w:val="000000"/>
                <w:kern w:val="0"/>
                <w:sz w:val="22"/>
                <w:szCs w:val="22"/>
                <w:u w:val="none"/>
                <w:lang w:val="en-US" w:eastAsia="zh-CN" w:bidi="ar"/>
              </w:rPr>
              <w:t>10KV冷缩单芯户内终端1*95</w:t>
            </w:r>
          </w:p>
        </w:tc>
        <w:tc>
          <w:tcPr>
            <w:tcW w:w="846" w:type="dxa"/>
            <w:vAlign w:val="center"/>
          </w:tcPr>
          <w:p>
            <w:pPr>
              <w:jc w:val="center"/>
              <w:rPr>
                <w:rFonts w:asciiTheme="minorEastAsia" w:hAnsiTheme="minorEastAsia" w:eastAsiaTheme="minorEastAsia"/>
              </w:rPr>
            </w:pPr>
          </w:p>
        </w:tc>
        <w:tc>
          <w:tcPr>
            <w:tcW w:w="409" w:type="dxa"/>
            <w:vAlign w:val="center"/>
          </w:tcPr>
          <w:p>
            <w:pPr>
              <w:widowControl/>
              <w:jc w:val="center"/>
              <w:rPr>
                <w:rFonts w:asciiTheme="minorEastAsia" w:hAnsiTheme="minorEastAsia" w:eastAsiaTheme="minorEastAsia"/>
              </w:rPr>
            </w:pPr>
          </w:p>
        </w:tc>
        <w:tc>
          <w:tcPr>
            <w:tcW w:w="641" w:type="dxa"/>
            <w:vAlign w:val="center"/>
          </w:tcPr>
          <w:p>
            <w:pPr>
              <w:widowControl/>
              <w:jc w:val="center"/>
              <w:rPr>
                <w:rFonts w:asciiTheme="minorEastAsia" w:hAnsiTheme="minorEastAsia" w:eastAsiaTheme="minorEastAsia"/>
              </w:rPr>
            </w:pPr>
          </w:p>
        </w:tc>
        <w:tc>
          <w:tcPr>
            <w:tcW w:w="650" w:type="dxa"/>
            <w:vAlign w:val="center"/>
          </w:tcPr>
          <w:p>
            <w:pPr>
              <w:widowControl/>
              <w:jc w:val="center"/>
              <w:rPr>
                <w:rFonts w:asciiTheme="minorEastAsia" w:hAnsiTheme="minorEastAsia" w:eastAsiaTheme="minorEastAsia"/>
              </w:rPr>
            </w:pPr>
          </w:p>
        </w:tc>
        <w:tc>
          <w:tcPr>
            <w:tcW w:w="2203" w:type="dxa"/>
            <w:vAlign w:val="center"/>
          </w:tcPr>
          <w:p>
            <w:pPr>
              <w:widowControl/>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 w:type="dxa"/>
            <w:vAlign w:val="center"/>
          </w:tcPr>
          <w:p>
            <w:pPr>
              <w:jc w:val="center"/>
              <w:rPr>
                <w:rFonts w:asciiTheme="minorEastAsia" w:hAnsiTheme="minorEastAsia" w:eastAsiaTheme="minorEastAsia"/>
              </w:rPr>
            </w:pPr>
            <w:r>
              <w:rPr>
                <w:rFonts w:hint="eastAsia" w:asciiTheme="minorEastAsia" w:hAnsiTheme="minorEastAsia" w:eastAsiaTheme="minorEastAsia"/>
              </w:rPr>
              <w:t>3</w:t>
            </w:r>
          </w:p>
        </w:tc>
        <w:tc>
          <w:tcPr>
            <w:tcW w:w="4065" w:type="dxa"/>
            <w:vAlign w:val="center"/>
          </w:tcPr>
          <w:p>
            <w:pPr>
              <w:keepNext w:val="0"/>
              <w:keepLines w:val="0"/>
              <w:widowControl/>
              <w:suppressLineNumbers w:val="0"/>
              <w:jc w:val="center"/>
              <w:textAlignment w:val="center"/>
              <w:rPr>
                <w:rFonts w:asciiTheme="minorEastAsia" w:hAnsiTheme="minorEastAsia" w:eastAsiaTheme="minorEastAsia"/>
              </w:rPr>
            </w:pPr>
            <w:r>
              <w:rPr>
                <w:rFonts w:hint="eastAsia" w:ascii="宋体" w:hAnsi="宋体" w:eastAsia="宋体" w:cs="宋体"/>
                <w:i w:val="0"/>
                <w:color w:val="000000"/>
                <w:kern w:val="0"/>
                <w:sz w:val="22"/>
                <w:szCs w:val="22"/>
                <w:u w:val="none"/>
                <w:lang w:val="en-US" w:eastAsia="zh-CN" w:bidi="ar"/>
              </w:rPr>
              <w:t>10KV冷缩三芯户内终端3*95</w:t>
            </w:r>
          </w:p>
        </w:tc>
        <w:tc>
          <w:tcPr>
            <w:tcW w:w="846" w:type="dxa"/>
            <w:vAlign w:val="top"/>
          </w:tcPr>
          <w:p>
            <w:pPr>
              <w:widowControl/>
              <w:jc w:val="center"/>
              <w:rPr>
                <w:rFonts w:asciiTheme="minorEastAsia" w:hAnsiTheme="minorEastAsia" w:eastAsiaTheme="minorEastAsia"/>
              </w:rPr>
            </w:pPr>
          </w:p>
        </w:tc>
        <w:tc>
          <w:tcPr>
            <w:tcW w:w="409" w:type="dxa"/>
            <w:vAlign w:val="center"/>
          </w:tcPr>
          <w:p>
            <w:pPr>
              <w:widowControl/>
              <w:jc w:val="center"/>
              <w:rPr>
                <w:rFonts w:asciiTheme="minorEastAsia" w:hAnsiTheme="minorEastAsia" w:eastAsiaTheme="minorEastAsia"/>
              </w:rPr>
            </w:pPr>
          </w:p>
        </w:tc>
        <w:tc>
          <w:tcPr>
            <w:tcW w:w="641" w:type="dxa"/>
            <w:vAlign w:val="center"/>
          </w:tcPr>
          <w:p>
            <w:pPr>
              <w:widowControl/>
              <w:jc w:val="center"/>
              <w:rPr>
                <w:rFonts w:asciiTheme="minorEastAsia" w:hAnsiTheme="minorEastAsia" w:eastAsiaTheme="minorEastAsia"/>
              </w:rPr>
            </w:pPr>
          </w:p>
        </w:tc>
        <w:tc>
          <w:tcPr>
            <w:tcW w:w="650" w:type="dxa"/>
            <w:vAlign w:val="center"/>
          </w:tcPr>
          <w:p>
            <w:pPr>
              <w:widowControl/>
              <w:jc w:val="center"/>
              <w:rPr>
                <w:rFonts w:asciiTheme="minorEastAsia" w:hAnsiTheme="minorEastAsia" w:eastAsiaTheme="minorEastAsia"/>
              </w:rPr>
            </w:pPr>
          </w:p>
        </w:tc>
        <w:tc>
          <w:tcPr>
            <w:tcW w:w="2203" w:type="dxa"/>
            <w:vAlign w:val="center"/>
          </w:tcPr>
          <w:p>
            <w:pPr>
              <w:widowControl/>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 w:type="dxa"/>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4065" w:type="dxa"/>
            <w:vAlign w:val="center"/>
          </w:tcPr>
          <w:p>
            <w:pPr>
              <w:keepNext w:val="0"/>
              <w:keepLines w:val="0"/>
              <w:widowControl/>
              <w:suppressLineNumbers w:val="0"/>
              <w:jc w:val="center"/>
              <w:textAlignment w:val="center"/>
              <w:rPr>
                <w:rFonts w:asciiTheme="minorEastAsia" w:hAnsiTheme="minorEastAsia" w:eastAsiaTheme="minorEastAsia"/>
              </w:rPr>
            </w:pPr>
            <w:r>
              <w:rPr>
                <w:rFonts w:hint="eastAsia" w:ascii="宋体" w:hAnsi="宋体" w:eastAsia="宋体" w:cs="宋体"/>
                <w:i w:val="0"/>
                <w:color w:val="000000"/>
                <w:kern w:val="0"/>
                <w:sz w:val="22"/>
                <w:szCs w:val="22"/>
                <w:u w:val="none"/>
                <w:lang w:val="en-US" w:eastAsia="zh-CN" w:bidi="ar"/>
              </w:rPr>
              <w:t>10KV冷缩管70-120</w:t>
            </w:r>
          </w:p>
        </w:tc>
        <w:tc>
          <w:tcPr>
            <w:tcW w:w="846" w:type="dxa"/>
            <w:vAlign w:val="top"/>
          </w:tcPr>
          <w:p>
            <w:pPr>
              <w:widowControl/>
              <w:jc w:val="center"/>
              <w:rPr>
                <w:rFonts w:asciiTheme="minorEastAsia" w:hAnsiTheme="minorEastAsia" w:eastAsiaTheme="minorEastAsia"/>
              </w:rPr>
            </w:pPr>
          </w:p>
        </w:tc>
        <w:tc>
          <w:tcPr>
            <w:tcW w:w="409" w:type="dxa"/>
            <w:vAlign w:val="center"/>
          </w:tcPr>
          <w:p>
            <w:pPr>
              <w:widowControl/>
              <w:jc w:val="center"/>
              <w:rPr>
                <w:rFonts w:asciiTheme="minorEastAsia" w:hAnsiTheme="minorEastAsia" w:eastAsiaTheme="minorEastAsia"/>
              </w:rPr>
            </w:pPr>
          </w:p>
        </w:tc>
        <w:tc>
          <w:tcPr>
            <w:tcW w:w="641" w:type="dxa"/>
            <w:vAlign w:val="center"/>
          </w:tcPr>
          <w:p>
            <w:pPr>
              <w:widowControl/>
              <w:jc w:val="center"/>
              <w:rPr>
                <w:rFonts w:asciiTheme="minorEastAsia" w:hAnsiTheme="minorEastAsia" w:eastAsiaTheme="minorEastAsia"/>
              </w:rPr>
            </w:pPr>
          </w:p>
        </w:tc>
        <w:tc>
          <w:tcPr>
            <w:tcW w:w="650" w:type="dxa"/>
            <w:vAlign w:val="center"/>
          </w:tcPr>
          <w:p>
            <w:pPr>
              <w:widowControl/>
              <w:jc w:val="center"/>
              <w:rPr>
                <w:rFonts w:asciiTheme="minorEastAsia" w:hAnsiTheme="minorEastAsia" w:eastAsiaTheme="minorEastAsia"/>
              </w:rPr>
            </w:pPr>
          </w:p>
        </w:tc>
        <w:tc>
          <w:tcPr>
            <w:tcW w:w="2203" w:type="dxa"/>
            <w:vAlign w:val="center"/>
          </w:tcPr>
          <w:p>
            <w:pPr>
              <w:widowControl/>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 w:type="dxa"/>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4065" w:type="dxa"/>
            <w:vAlign w:val="center"/>
          </w:tcPr>
          <w:p>
            <w:pPr>
              <w:jc w:val="center"/>
              <w:rPr>
                <w:rFonts w:asciiTheme="minorEastAsia" w:hAnsiTheme="minorEastAsia" w:eastAsiaTheme="minorEastAsia"/>
              </w:rPr>
            </w:pPr>
            <w:r>
              <w:rPr>
                <w:rFonts w:hint="eastAsia" w:asciiTheme="minorEastAsia" w:hAnsiTheme="minorEastAsia" w:eastAsiaTheme="minorEastAsia"/>
              </w:rPr>
              <w:t>35kV冷缩单芯户内终端1*300</w:t>
            </w:r>
          </w:p>
        </w:tc>
        <w:tc>
          <w:tcPr>
            <w:tcW w:w="846" w:type="dxa"/>
            <w:vAlign w:val="center"/>
          </w:tcPr>
          <w:p>
            <w:pPr>
              <w:jc w:val="center"/>
              <w:rPr>
                <w:rFonts w:asciiTheme="minorEastAsia" w:hAnsiTheme="minorEastAsia" w:eastAsiaTheme="minorEastAsia"/>
              </w:rPr>
            </w:pPr>
          </w:p>
        </w:tc>
        <w:tc>
          <w:tcPr>
            <w:tcW w:w="409" w:type="dxa"/>
            <w:vAlign w:val="center"/>
          </w:tcPr>
          <w:p>
            <w:pPr>
              <w:widowControl/>
              <w:jc w:val="center"/>
              <w:rPr>
                <w:rFonts w:asciiTheme="minorEastAsia" w:hAnsiTheme="minorEastAsia" w:eastAsiaTheme="minorEastAsia"/>
              </w:rPr>
            </w:pPr>
          </w:p>
        </w:tc>
        <w:tc>
          <w:tcPr>
            <w:tcW w:w="641" w:type="dxa"/>
            <w:vAlign w:val="center"/>
          </w:tcPr>
          <w:p>
            <w:pPr>
              <w:widowControl/>
              <w:jc w:val="center"/>
              <w:rPr>
                <w:rFonts w:asciiTheme="minorEastAsia" w:hAnsiTheme="minorEastAsia" w:eastAsiaTheme="minorEastAsia"/>
              </w:rPr>
            </w:pPr>
          </w:p>
        </w:tc>
        <w:tc>
          <w:tcPr>
            <w:tcW w:w="650" w:type="dxa"/>
            <w:vAlign w:val="center"/>
          </w:tcPr>
          <w:p>
            <w:pPr>
              <w:widowControl/>
              <w:jc w:val="center"/>
              <w:rPr>
                <w:rFonts w:asciiTheme="minorEastAsia" w:hAnsiTheme="minorEastAsia" w:eastAsiaTheme="minorEastAsia"/>
              </w:rPr>
            </w:pPr>
          </w:p>
        </w:tc>
        <w:tc>
          <w:tcPr>
            <w:tcW w:w="2203" w:type="dxa"/>
            <w:vAlign w:val="center"/>
          </w:tcPr>
          <w:p>
            <w:pPr>
              <w:widowControl/>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 w:type="dxa"/>
            <w:vAlign w:val="center"/>
          </w:tcPr>
          <w:p>
            <w:pPr>
              <w:jc w:val="center"/>
              <w:rPr>
                <w:rFonts w:hint="eastAsia" w:asciiTheme="minorEastAsia" w:hAnsiTheme="minorEastAsia" w:eastAsiaTheme="minorEastAsia"/>
                <w:lang w:val="en-US" w:eastAsia="zh-CN"/>
              </w:rPr>
            </w:pPr>
            <w:r>
              <w:rPr>
                <w:rFonts w:hint="eastAsia" w:asciiTheme="minorEastAsia" w:hAnsiTheme="minorEastAsia"/>
                <w:lang w:val="en-US" w:eastAsia="zh-CN"/>
              </w:rPr>
              <w:t>6</w:t>
            </w:r>
          </w:p>
        </w:tc>
        <w:tc>
          <w:tcPr>
            <w:tcW w:w="4065" w:type="dxa"/>
            <w:vAlign w:val="center"/>
          </w:tcPr>
          <w:p>
            <w:pPr>
              <w:keepNext w:val="0"/>
              <w:keepLines w:val="0"/>
              <w:widowControl/>
              <w:suppressLineNumbers w:val="0"/>
              <w:jc w:val="center"/>
              <w:textAlignment w:val="center"/>
              <w:rPr>
                <w:rFonts w:asciiTheme="minorEastAsia" w:hAnsiTheme="minorEastAsia" w:eastAsiaTheme="minorEastAsia"/>
              </w:rPr>
            </w:pPr>
            <w:r>
              <w:rPr>
                <w:rFonts w:hint="eastAsia" w:ascii="宋体" w:hAnsi="宋体" w:eastAsia="宋体" w:cs="宋体"/>
                <w:i w:val="0"/>
                <w:color w:val="000000"/>
                <w:kern w:val="0"/>
                <w:sz w:val="22"/>
                <w:szCs w:val="22"/>
                <w:u w:val="none"/>
                <w:lang w:val="en-US" w:eastAsia="zh-CN" w:bidi="ar"/>
              </w:rPr>
              <w:t>35kV冷缩单芯中间接头1*300</w:t>
            </w:r>
          </w:p>
        </w:tc>
        <w:tc>
          <w:tcPr>
            <w:tcW w:w="846" w:type="dxa"/>
            <w:vAlign w:val="center"/>
          </w:tcPr>
          <w:p>
            <w:pPr>
              <w:jc w:val="center"/>
              <w:rPr>
                <w:rFonts w:asciiTheme="minorEastAsia" w:hAnsiTheme="minorEastAsia" w:eastAsiaTheme="minorEastAsia"/>
              </w:rPr>
            </w:pPr>
          </w:p>
        </w:tc>
        <w:tc>
          <w:tcPr>
            <w:tcW w:w="409" w:type="dxa"/>
            <w:vAlign w:val="center"/>
          </w:tcPr>
          <w:p>
            <w:pPr>
              <w:widowControl/>
              <w:jc w:val="center"/>
              <w:rPr>
                <w:rFonts w:asciiTheme="minorEastAsia" w:hAnsiTheme="minorEastAsia" w:eastAsiaTheme="minorEastAsia"/>
              </w:rPr>
            </w:pPr>
          </w:p>
        </w:tc>
        <w:tc>
          <w:tcPr>
            <w:tcW w:w="641" w:type="dxa"/>
            <w:vAlign w:val="center"/>
          </w:tcPr>
          <w:p>
            <w:pPr>
              <w:widowControl/>
              <w:jc w:val="center"/>
              <w:rPr>
                <w:rFonts w:asciiTheme="minorEastAsia" w:hAnsiTheme="minorEastAsia" w:eastAsiaTheme="minorEastAsia"/>
              </w:rPr>
            </w:pPr>
          </w:p>
        </w:tc>
        <w:tc>
          <w:tcPr>
            <w:tcW w:w="650" w:type="dxa"/>
            <w:vAlign w:val="center"/>
          </w:tcPr>
          <w:p>
            <w:pPr>
              <w:widowControl/>
              <w:jc w:val="center"/>
              <w:rPr>
                <w:rFonts w:asciiTheme="minorEastAsia" w:hAnsiTheme="minorEastAsia" w:eastAsiaTheme="minorEastAsia"/>
              </w:rPr>
            </w:pPr>
          </w:p>
        </w:tc>
        <w:tc>
          <w:tcPr>
            <w:tcW w:w="2203" w:type="dxa"/>
            <w:vAlign w:val="center"/>
          </w:tcPr>
          <w:p>
            <w:pPr>
              <w:widowControl/>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 w:type="dxa"/>
            <w:vAlign w:val="center"/>
          </w:tcPr>
          <w:p>
            <w:pPr>
              <w:jc w:val="center"/>
              <w:rPr>
                <w:rFonts w:hint="eastAsia" w:asciiTheme="minorEastAsia" w:hAnsiTheme="minorEastAsia" w:eastAsiaTheme="minorEastAsia"/>
                <w:lang w:val="en-US" w:eastAsia="zh-CN"/>
              </w:rPr>
            </w:pPr>
            <w:r>
              <w:rPr>
                <w:rFonts w:hint="eastAsia" w:asciiTheme="minorEastAsia" w:hAnsiTheme="minorEastAsia"/>
                <w:lang w:val="en-US" w:eastAsia="zh-CN"/>
              </w:rPr>
              <w:t>7</w:t>
            </w:r>
          </w:p>
        </w:tc>
        <w:tc>
          <w:tcPr>
            <w:tcW w:w="4065" w:type="dxa"/>
            <w:vAlign w:val="center"/>
          </w:tcPr>
          <w:p>
            <w:pPr>
              <w:keepNext w:val="0"/>
              <w:keepLines w:val="0"/>
              <w:widowControl/>
              <w:suppressLineNumbers w:val="0"/>
              <w:jc w:val="center"/>
              <w:textAlignment w:val="center"/>
              <w:rPr>
                <w:rFonts w:asciiTheme="minorEastAsia" w:hAnsiTheme="minorEastAsia" w:eastAsiaTheme="minorEastAsia"/>
              </w:rPr>
            </w:pPr>
            <w:r>
              <w:rPr>
                <w:rFonts w:hint="eastAsia" w:ascii="宋体" w:hAnsi="宋体" w:eastAsia="宋体" w:cs="宋体"/>
                <w:i w:val="0"/>
                <w:color w:val="000000"/>
                <w:kern w:val="0"/>
                <w:sz w:val="22"/>
                <w:szCs w:val="22"/>
                <w:u w:val="none"/>
                <w:lang w:val="en-US" w:eastAsia="zh-CN" w:bidi="ar"/>
              </w:rPr>
              <w:t>35kV中间接头防爆盒1.3玻璃钢</w:t>
            </w:r>
          </w:p>
        </w:tc>
        <w:tc>
          <w:tcPr>
            <w:tcW w:w="846" w:type="dxa"/>
            <w:vAlign w:val="center"/>
          </w:tcPr>
          <w:p>
            <w:pPr>
              <w:jc w:val="center"/>
              <w:rPr>
                <w:rFonts w:asciiTheme="minorEastAsia" w:hAnsiTheme="minorEastAsia" w:eastAsiaTheme="minorEastAsia"/>
              </w:rPr>
            </w:pPr>
          </w:p>
        </w:tc>
        <w:tc>
          <w:tcPr>
            <w:tcW w:w="409" w:type="dxa"/>
            <w:vAlign w:val="center"/>
          </w:tcPr>
          <w:p>
            <w:pPr>
              <w:widowControl/>
              <w:jc w:val="center"/>
              <w:rPr>
                <w:rFonts w:asciiTheme="minorEastAsia" w:hAnsiTheme="minorEastAsia" w:eastAsiaTheme="minorEastAsia"/>
              </w:rPr>
            </w:pPr>
          </w:p>
        </w:tc>
        <w:tc>
          <w:tcPr>
            <w:tcW w:w="641" w:type="dxa"/>
            <w:vAlign w:val="center"/>
          </w:tcPr>
          <w:p>
            <w:pPr>
              <w:widowControl/>
              <w:jc w:val="center"/>
              <w:rPr>
                <w:rFonts w:asciiTheme="minorEastAsia" w:hAnsiTheme="minorEastAsia" w:eastAsiaTheme="minorEastAsia"/>
              </w:rPr>
            </w:pPr>
          </w:p>
        </w:tc>
        <w:tc>
          <w:tcPr>
            <w:tcW w:w="650" w:type="dxa"/>
            <w:vAlign w:val="center"/>
          </w:tcPr>
          <w:p>
            <w:pPr>
              <w:widowControl/>
              <w:jc w:val="center"/>
              <w:rPr>
                <w:rFonts w:asciiTheme="minorEastAsia" w:hAnsiTheme="minorEastAsia" w:eastAsiaTheme="minorEastAsia"/>
              </w:rPr>
            </w:pPr>
          </w:p>
        </w:tc>
        <w:tc>
          <w:tcPr>
            <w:tcW w:w="2203" w:type="dxa"/>
            <w:vAlign w:val="center"/>
          </w:tcPr>
          <w:p>
            <w:pPr>
              <w:widowControl/>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 w:type="dxa"/>
            <w:vAlign w:val="center"/>
          </w:tcPr>
          <w:p>
            <w:pPr>
              <w:jc w:val="center"/>
              <w:rPr>
                <w:rFonts w:hint="eastAsia" w:asciiTheme="minorEastAsia" w:hAnsiTheme="minorEastAsia" w:eastAsiaTheme="minorEastAsia"/>
              </w:rPr>
            </w:pPr>
          </w:p>
        </w:tc>
        <w:tc>
          <w:tcPr>
            <w:tcW w:w="4065" w:type="dxa"/>
            <w:vAlign w:val="center"/>
          </w:tcPr>
          <w:p>
            <w:pPr>
              <w:jc w:val="center"/>
              <w:rPr>
                <w:rFonts w:asciiTheme="minorEastAsia" w:hAnsiTheme="minorEastAsia" w:eastAsiaTheme="minorEastAsia"/>
              </w:rPr>
            </w:pPr>
          </w:p>
        </w:tc>
        <w:tc>
          <w:tcPr>
            <w:tcW w:w="846" w:type="dxa"/>
            <w:vAlign w:val="center"/>
          </w:tcPr>
          <w:p>
            <w:pPr>
              <w:jc w:val="center"/>
              <w:rPr>
                <w:rFonts w:asciiTheme="minorEastAsia" w:hAnsiTheme="minorEastAsia" w:eastAsiaTheme="minorEastAsia"/>
              </w:rPr>
            </w:pPr>
          </w:p>
        </w:tc>
        <w:tc>
          <w:tcPr>
            <w:tcW w:w="409" w:type="dxa"/>
            <w:vAlign w:val="center"/>
          </w:tcPr>
          <w:p>
            <w:pPr>
              <w:widowControl/>
              <w:jc w:val="center"/>
              <w:rPr>
                <w:rFonts w:asciiTheme="minorEastAsia" w:hAnsiTheme="minorEastAsia" w:eastAsiaTheme="minorEastAsia"/>
              </w:rPr>
            </w:pPr>
          </w:p>
        </w:tc>
        <w:tc>
          <w:tcPr>
            <w:tcW w:w="641" w:type="dxa"/>
            <w:vAlign w:val="center"/>
          </w:tcPr>
          <w:p>
            <w:pPr>
              <w:widowControl/>
              <w:jc w:val="center"/>
              <w:rPr>
                <w:rFonts w:asciiTheme="minorEastAsia" w:hAnsiTheme="minorEastAsia" w:eastAsiaTheme="minorEastAsia"/>
              </w:rPr>
            </w:pPr>
          </w:p>
        </w:tc>
        <w:tc>
          <w:tcPr>
            <w:tcW w:w="650" w:type="dxa"/>
            <w:vAlign w:val="center"/>
          </w:tcPr>
          <w:p>
            <w:pPr>
              <w:widowControl/>
              <w:jc w:val="center"/>
              <w:rPr>
                <w:rFonts w:asciiTheme="minorEastAsia" w:hAnsiTheme="minorEastAsia" w:eastAsiaTheme="minorEastAsia"/>
              </w:rPr>
            </w:pPr>
          </w:p>
        </w:tc>
        <w:tc>
          <w:tcPr>
            <w:tcW w:w="2203" w:type="dxa"/>
            <w:vAlign w:val="center"/>
          </w:tcPr>
          <w:p>
            <w:pPr>
              <w:widowControl/>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5" w:type="dxa"/>
            <w:gridSpan w:val="5"/>
            <w:vAlign w:val="center"/>
          </w:tcPr>
          <w:p>
            <w:pPr>
              <w:jc w:val="center"/>
              <w:rPr>
                <w:rFonts w:asciiTheme="minorEastAsia" w:hAnsiTheme="minorEastAsia" w:eastAsiaTheme="minorEastAsia"/>
              </w:rPr>
            </w:pPr>
          </w:p>
        </w:tc>
        <w:tc>
          <w:tcPr>
            <w:tcW w:w="650" w:type="dxa"/>
            <w:vAlign w:val="center"/>
          </w:tcPr>
          <w:p>
            <w:pPr>
              <w:jc w:val="center"/>
              <w:rPr>
                <w:rFonts w:asciiTheme="minorEastAsia" w:hAnsiTheme="minorEastAsia" w:eastAsiaTheme="minorEastAsia"/>
              </w:rPr>
            </w:pPr>
          </w:p>
        </w:tc>
        <w:tc>
          <w:tcPr>
            <w:tcW w:w="2203" w:type="dxa"/>
            <w:vAlign w:val="center"/>
          </w:tcPr>
          <w:p>
            <w:pPr>
              <w:jc w:val="center"/>
              <w:rPr>
                <w:rFonts w:asciiTheme="minorEastAsia" w:hAnsiTheme="minorEastAsia" w:eastAsiaTheme="minorEastAsia"/>
              </w:rPr>
            </w:pPr>
          </w:p>
        </w:tc>
      </w:tr>
    </w:tbl>
    <w:p>
      <w:pPr>
        <w:spacing w:line="360" w:lineRule="auto"/>
        <w:ind w:firstLine="480"/>
        <w:rPr>
          <w:rFonts w:hint="eastAsia"/>
          <w:sz w:val="28"/>
          <w:szCs w:val="28"/>
        </w:rPr>
      </w:pPr>
    </w:p>
    <w:p>
      <w:pPr>
        <w:spacing w:line="360" w:lineRule="auto"/>
        <w:rPr>
          <w:rFonts w:hint="eastAsia"/>
          <w:sz w:val="28"/>
          <w:szCs w:val="28"/>
        </w:rPr>
      </w:pPr>
      <w:r>
        <w:rPr>
          <w:rFonts w:hint="eastAsia"/>
          <w:sz w:val="28"/>
          <w:szCs w:val="28"/>
        </w:rPr>
        <w:t>2、硬件更换费用</w:t>
      </w:r>
    </w:p>
    <w:p>
      <w:pPr>
        <w:spacing w:line="360" w:lineRule="auto"/>
        <w:ind w:firstLine="480"/>
        <w:rPr>
          <w:rFonts w:hint="eastAsia"/>
          <w:sz w:val="28"/>
          <w:szCs w:val="28"/>
        </w:rPr>
      </w:pPr>
      <w:r>
        <w:rPr>
          <w:rFonts w:hint="eastAsia"/>
          <w:sz w:val="28"/>
          <w:szCs w:val="28"/>
          <w:lang w:val="en-US" w:eastAsia="zh-CN"/>
        </w:rPr>
        <w:t>全厂高压电缆冷缩头</w:t>
      </w:r>
      <w:r>
        <w:rPr>
          <w:rFonts w:hint="eastAsia"/>
          <w:sz w:val="28"/>
          <w:szCs w:val="28"/>
        </w:rPr>
        <w:t>如需更换备件由乙方提供，具</w:t>
      </w:r>
    </w:p>
    <w:p>
      <w:pPr>
        <w:spacing w:line="360" w:lineRule="auto"/>
        <w:ind w:firstLine="480"/>
        <w:rPr>
          <w:rFonts w:hint="eastAsia"/>
          <w:sz w:val="28"/>
          <w:szCs w:val="28"/>
          <w:lang w:eastAsia="zh-CN"/>
        </w:rPr>
      </w:pPr>
      <w:r>
        <w:rPr>
          <w:rFonts w:hint="eastAsia"/>
          <w:sz w:val="28"/>
          <w:szCs w:val="28"/>
        </w:rPr>
        <w:t>体价格根据</w:t>
      </w:r>
      <w:r>
        <w:rPr>
          <w:rFonts w:hint="eastAsia"/>
          <w:sz w:val="28"/>
          <w:szCs w:val="28"/>
          <w:lang w:val="en-US" w:eastAsia="zh-CN"/>
        </w:rPr>
        <w:t>备件</w:t>
      </w:r>
      <w:r>
        <w:rPr>
          <w:rFonts w:hint="eastAsia"/>
          <w:sz w:val="28"/>
          <w:szCs w:val="28"/>
        </w:rPr>
        <w:t>更换清单进行结算（</w:t>
      </w:r>
      <w:r>
        <w:rPr>
          <w:rFonts w:hint="eastAsia" w:ascii="宋体" w:hAnsi="宋体"/>
          <w:sz w:val="28"/>
          <w:szCs w:val="28"/>
          <w:lang w:val="en-US" w:eastAsia="zh-CN"/>
        </w:rPr>
        <w:t>含16%增值税</w:t>
      </w:r>
      <w:r>
        <w:rPr>
          <w:rFonts w:hint="eastAsia"/>
          <w:sz w:val="28"/>
          <w:szCs w:val="28"/>
        </w:rPr>
        <w:t>）</w:t>
      </w:r>
      <w:r>
        <w:rPr>
          <w:rFonts w:hint="eastAsia"/>
          <w:sz w:val="28"/>
          <w:szCs w:val="28"/>
          <w:lang w:eastAsia="zh-CN"/>
        </w:rPr>
        <w:t>。</w:t>
      </w:r>
    </w:p>
    <w:p>
      <w:pPr>
        <w:numPr>
          <w:ilvl w:val="0"/>
          <w:numId w:val="0"/>
        </w:numPr>
        <w:spacing w:line="360" w:lineRule="auto"/>
        <w:rPr>
          <w:rFonts w:hint="eastAsia"/>
          <w:sz w:val="28"/>
          <w:szCs w:val="28"/>
          <w:lang w:eastAsia="zh-CN"/>
        </w:rPr>
      </w:pPr>
    </w:p>
    <w:p>
      <w:pPr>
        <w:spacing w:line="360" w:lineRule="auto"/>
        <w:rPr>
          <w:rFonts w:hint="eastAsia"/>
          <w:sz w:val="28"/>
          <w:szCs w:val="28"/>
        </w:rPr>
      </w:pPr>
      <w:r>
        <w:rPr>
          <w:rFonts w:hint="eastAsia"/>
          <w:sz w:val="28"/>
          <w:szCs w:val="28"/>
          <w:lang w:val="en-US" w:eastAsia="zh-CN"/>
        </w:rPr>
        <w:t>4</w:t>
      </w:r>
      <w:r>
        <w:rPr>
          <w:rFonts w:hint="eastAsia"/>
          <w:sz w:val="28"/>
          <w:szCs w:val="28"/>
        </w:rPr>
        <w:t xml:space="preserve">、工程签证与结算管理 </w:t>
      </w:r>
    </w:p>
    <w:p>
      <w:pPr>
        <w:spacing w:line="360" w:lineRule="auto"/>
        <w:ind w:firstLine="560" w:firstLineChars="200"/>
        <w:rPr>
          <w:rFonts w:hint="eastAsia"/>
          <w:sz w:val="28"/>
          <w:szCs w:val="28"/>
        </w:rPr>
      </w:pPr>
      <w:r>
        <w:rPr>
          <w:rFonts w:hint="eastAsia"/>
          <w:sz w:val="28"/>
          <w:szCs w:val="28"/>
          <w:lang w:val="en-US" w:eastAsia="zh-CN"/>
        </w:rPr>
        <w:t>4</w:t>
      </w:r>
      <w:r>
        <w:rPr>
          <w:rFonts w:hint="eastAsia"/>
          <w:sz w:val="28"/>
          <w:szCs w:val="28"/>
        </w:rPr>
        <w:t>.1 工程签证：乙方每次服务完成并提供相关资料后，甲方以签《现场服务确认单》进行验收。</w:t>
      </w:r>
    </w:p>
    <w:p>
      <w:pPr>
        <w:spacing w:line="360" w:lineRule="auto"/>
        <w:ind w:firstLine="560" w:firstLineChars="200"/>
        <w:rPr>
          <w:rFonts w:hint="eastAsia"/>
          <w:sz w:val="28"/>
          <w:szCs w:val="28"/>
        </w:rPr>
      </w:pPr>
      <w:r>
        <w:rPr>
          <w:rFonts w:hint="eastAsia"/>
          <w:sz w:val="28"/>
          <w:szCs w:val="28"/>
          <w:lang w:val="en-US" w:eastAsia="zh-CN"/>
        </w:rPr>
        <w:t>4</w:t>
      </w:r>
      <w:r>
        <w:rPr>
          <w:rFonts w:hint="eastAsia"/>
          <w:sz w:val="28"/>
          <w:szCs w:val="28"/>
        </w:rPr>
        <w:t>.2乙方根据甲方的签证和协议规定的技术服务单价，编制结算书（电子版及1份签字盖章的纸质版原件）送甲方审核，再根据甲方审核后的金额，</w:t>
      </w:r>
      <w:r>
        <w:rPr>
          <w:rFonts w:hint="eastAsia" w:ascii="宋体" w:hAnsi="宋体"/>
          <w:sz w:val="28"/>
          <w:szCs w:val="28"/>
        </w:rPr>
        <w:t>开具增值税专用发票</w:t>
      </w:r>
      <w:r>
        <w:rPr>
          <w:rFonts w:hint="eastAsia" w:ascii="宋体" w:hAnsi="宋体"/>
          <w:sz w:val="28"/>
          <w:szCs w:val="28"/>
          <w:lang w:eastAsia="zh-CN"/>
        </w:rPr>
        <w:t>，</w:t>
      </w:r>
      <w:r>
        <w:rPr>
          <w:rFonts w:hint="eastAsia"/>
          <w:sz w:val="28"/>
          <w:szCs w:val="28"/>
        </w:rPr>
        <w:t>并提交付款通知单（签字的纸质版原件 ）给甲方，每季度结算一次。</w:t>
      </w:r>
    </w:p>
    <w:p>
      <w:pPr>
        <w:spacing w:line="360" w:lineRule="auto"/>
        <w:rPr>
          <w:rFonts w:hint="eastAsia"/>
          <w:sz w:val="28"/>
          <w:szCs w:val="28"/>
        </w:rPr>
      </w:pPr>
      <w:r>
        <w:rPr>
          <w:rFonts w:hint="eastAsia"/>
          <w:sz w:val="28"/>
          <w:szCs w:val="28"/>
        </w:rPr>
        <w:t>五、 争议、违约和索赔</w:t>
      </w:r>
    </w:p>
    <w:p>
      <w:pPr>
        <w:spacing w:line="360" w:lineRule="auto"/>
        <w:rPr>
          <w:rFonts w:hint="eastAsia"/>
          <w:sz w:val="28"/>
          <w:szCs w:val="28"/>
        </w:rPr>
      </w:pPr>
      <w:r>
        <w:rPr>
          <w:rFonts w:hint="eastAsia"/>
          <w:sz w:val="28"/>
          <w:szCs w:val="28"/>
        </w:rPr>
        <w:t>1、争议：甲乙双方在履行合同过程中，发生争议和纠纷时，双方应友好协商解决，经协商无法解决时，应由甲方所在地法院解决。</w:t>
      </w:r>
    </w:p>
    <w:p>
      <w:pPr>
        <w:spacing w:line="360" w:lineRule="auto"/>
        <w:rPr>
          <w:rFonts w:hint="eastAsia"/>
          <w:sz w:val="28"/>
          <w:szCs w:val="28"/>
        </w:rPr>
      </w:pPr>
      <w:r>
        <w:rPr>
          <w:rFonts w:hint="eastAsia"/>
          <w:sz w:val="28"/>
          <w:szCs w:val="28"/>
        </w:rPr>
        <w:t>2、违约：任何一方未履行合同义务或履行合同义务不符合约定要求，应承担违约责任并向对方支付违约金，具体以下列约定为准。本条关于违约责任的约定，与合同其他条款关于违约责任的约定可同时适用。</w:t>
      </w:r>
    </w:p>
    <w:p>
      <w:pPr>
        <w:spacing w:line="360" w:lineRule="auto"/>
        <w:ind w:firstLine="560" w:firstLineChars="200"/>
        <w:rPr>
          <w:rFonts w:hint="eastAsia"/>
          <w:sz w:val="28"/>
          <w:szCs w:val="28"/>
        </w:rPr>
      </w:pPr>
      <w:r>
        <w:rPr>
          <w:rFonts w:hint="eastAsia"/>
          <w:sz w:val="28"/>
          <w:szCs w:val="28"/>
        </w:rPr>
        <w:t>2.</w:t>
      </w:r>
      <w:r>
        <w:rPr>
          <w:rFonts w:hint="eastAsia"/>
          <w:sz w:val="28"/>
          <w:szCs w:val="28"/>
          <w:lang w:val="en-US" w:eastAsia="zh-CN"/>
        </w:rPr>
        <w:t>1</w:t>
      </w:r>
      <w:r>
        <w:rPr>
          <w:rFonts w:hint="eastAsia"/>
          <w:sz w:val="28"/>
          <w:szCs w:val="28"/>
        </w:rPr>
        <w:t xml:space="preserve"> 乙方提供的检修服务达不到合同约定的质量标准，乙方应无偿返修或返工，并承担由此给甲方造成的损失。</w:t>
      </w:r>
    </w:p>
    <w:p>
      <w:pPr>
        <w:spacing w:line="360" w:lineRule="auto"/>
        <w:ind w:firstLine="560" w:firstLineChars="200"/>
        <w:rPr>
          <w:rFonts w:hint="eastAsia"/>
          <w:sz w:val="28"/>
          <w:szCs w:val="28"/>
        </w:rPr>
      </w:pPr>
      <w:r>
        <w:rPr>
          <w:rFonts w:hint="eastAsia"/>
          <w:sz w:val="28"/>
          <w:szCs w:val="28"/>
        </w:rPr>
        <w:t>2.</w:t>
      </w:r>
      <w:r>
        <w:rPr>
          <w:rFonts w:hint="eastAsia"/>
          <w:sz w:val="28"/>
          <w:szCs w:val="28"/>
          <w:lang w:val="en-US" w:eastAsia="zh-CN"/>
        </w:rPr>
        <w:t>2</w:t>
      </w:r>
      <w:r>
        <w:rPr>
          <w:rFonts w:hint="eastAsia"/>
          <w:sz w:val="28"/>
          <w:szCs w:val="28"/>
        </w:rPr>
        <w:t>乙方违反施工规范、操作规范、技术要求等造成施工质量低劣及带来损失，甲方有权要求乙方整改，乙方不得拒绝接受甲方的整改通知。整改费用由乙方承担，并由乙方承担由此给甲方造成的损失。</w:t>
      </w:r>
    </w:p>
    <w:p>
      <w:pPr>
        <w:spacing w:line="360" w:lineRule="auto"/>
        <w:ind w:firstLine="560" w:firstLineChars="200"/>
        <w:rPr>
          <w:rFonts w:hint="eastAsia"/>
          <w:sz w:val="28"/>
          <w:szCs w:val="28"/>
        </w:rPr>
      </w:pPr>
      <w:r>
        <w:rPr>
          <w:rFonts w:hint="eastAsia"/>
          <w:sz w:val="28"/>
          <w:szCs w:val="28"/>
        </w:rPr>
        <w:t>2.</w:t>
      </w:r>
      <w:r>
        <w:rPr>
          <w:rFonts w:hint="eastAsia"/>
          <w:sz w:val="28"/>
          <w:szCs w:val="28"/>
          <w:lang w:val="en-US" w:eastAsia="zh-CN"/>
        </w:rPr>
        <w:t>3</w:t>
      </w:r>
      <w:r>
        <w:rPr>
          <w:rFonts w:hint="eastAsia"/>
          <w:sz w:val="28"/>
          <w:szCs w:val="28"/>
        </w:rPr>
        <w:t xml:space="preserve"> 乙方检维修施工期间，因不可归责于甲方的原因造成甲方、乙方或第三方人身、财产损失的，乙方承担赔偿责任，不可抗力等法律另有规定的除外。</w:t>
      </w:r>
    </w:p>
    <w:p>
      <w:pPr>
        <w:spacing w:line="360" w:lineRule="auto"/>
        <w:ind w:firstLine="560" w:firstLineChars="200"/>
        <w:rPr>
          <w:rFonts w:hint="eastAsia"/>
          <w:sz w:val="28"/>
          <w:szCs w:val="28"/>
        </w:rPr>
      </w:pPr>
      <w:r>
        <w:rPr>
          <w:rFonts w:hint="eastAsia"/>
          <w:sz w:val="28"/>
          <w:szCs w:val="28"/>
        </w:rPr>
        <w:t>2.</w:t>
      </w:r>
      <w:r>
        <w:rPr>
          <w:rFonts w:hint="eastAsia"/>
          <w:sz w:val="28"/>
          <w:szCs w:val="28"/>
          <w:lang w:val="en-US" w:eastAsia="zh-CN"/>
        </w:rPr>
        <w:t>4</w:t>
      </w:r>
      <w:r>
        <w:rPr>
          <w:rFonts w:hint="eastAsia"/>
          <w:sz w:val="28"/>
          <w:szCs w:val="28"/>
        </w:rPr>
        <w:t>乙方违反本合同约定，经甲方指出后未在甲方规定期限更正的，甲方视情况提前解除本合同并拒绝支付应付款项。</w:t>
      </w:r>
    </w:p>
    <w:p>
      <w:pPr>
        <w:spacing w:line="360" w:lineRule="auto"/>
        <w:rPr>
          <w:rFonts w:hint="eastAsia"/>
          <w:sz w:val="28"/>
          <w:szCs w:val="28"/>
        </w:rPr>
      </w:pPr>
      <w:r>
        <w:rPr>
          <w:rFonts w:hint="eastAsia"/>
          <w:sz w:val="28"/>
          <w:szCs w:val="28"/>
          <w:lang w:val="en-US" w:eastAsia="zh-CN"/>
        </w:rPr>
        <w:t>六</w:t>
      </w:r>
      <w:r>
        <w:rPr>
          <w:rFonts w:hint="eastAsia"/>
          <w:sz w:val="28"/>
          <w:szCs w:val="28"/>
        </w:rPr>
        <w:t>、 合同份数及生效、失效：</w:t>
      </w:r>
    </w:p>
    <w:p>
      <w:pPr>
        <w:spacing w:line="360" w:lineRule="auto"/>
        <w:ind w:firstLine="480"/>
        <w:rPr>
          <w:rFonts w:hint="eastAsia"/>
          <w:sz w:val="28"/>
          <w:szCs w:val="28"/>
        </w:rPr>
      </w:pPr>
      <w:r>
        <w:rPr>
          <w:rFonts w:hint="eastAsia"/>
          <w:sz w:val="28"/>
          <w:szCs w:val="28"/>
        </w:rPr>
        <w:t xml:space="preserve"> 本合同自</w:t>
      </w:r>
      <w:r>
        <w:rPr>
          <w:rFonts w:hint="eastAsia"/>
          <w:sz w:val="28"/>
          <w:szCs w:val="28"/>
          <w:lang w:val="en-US" w:eastAsia="zh-CN"/>
        </w:rPr>
        <w:t>2018</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11</w:t>
      </w:r>
      <w:r>
        <w:rPr>
          <w:rFonts w:hint="eastAsia"/>
          <w:sz w:val="28"/>
          <w:szCs w:val="28"/>
        </w:rPr>
        <w:t>日起至</w:t>
      </w:r>
      <w:r>
        <w:rPr>
          <w:rFonts w:hint="eastAsia"/>
          <w:sz w:val="28"/>
          <w:szCs w:val="28"/>
          <w:lang w:val="en-US" w:eastAsia="zh-CN"/>
        </w:rPr>
        <w:t>2019</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w:t>
      </w:r>
      <w:bookmarkStart w:id="4" w:name="_GoBack"/>
      <w:bookmarkEnd w:id="4"/>
      <w:r>
        <w:rPr>
          <w:rFonts w:hint="eastAsia"/>
          <w:sz w:val="28"/>
          <w:szCs w:val="28"/>
        </w:rPr>
        <w:t>日一式</w:t>
      </w:r>
      <w:r>
        <w:rPr>
          <w:rFonts w:hint="eastAsia"/>
          <w:sz w:val="28"/>
          <w:szCs w:val="28"/>
          <w:u w:val="single"/>
        </w:rPr>
        <w:t xml:space="preserve"> 陆</w:t>
      </w:r>
      <w:r>
        <w:rPr>
          <w:rFonts w:hint="eastAsia"/>
          <w:sz w:val="28"/>
          <w:szCs w:val="28"/>
        </w:rPr>
        <w:t>份，甲方执</w:t>
      </w:r>
      <w:r>
        <w:rPr>
          <w:rFonts w:hint="eastAsia"/>
          <w:sz w:val="28"/>
          <w:szCs w:val="28"/>
          <w:u w:val="single"/>
        </w:rPr>
        <w:t xml:space="preserve">　叁 </w:t>
      </w:r>
      <w:r>
        <w:rPr>
          <w:rFonts w:hint="eastAsia"/>
          <w:sz w:val="28"/>
          <w:szCs w:val="28"/>
        </w:rPr>
        <w:t>份，乙方执</w:t>
      </w:r>
      <w:r>
        <w:rPr>
          <w:rFonts w:hint="eastAsia"/>
          <w:sz w:val="28"/>
          <w:szCs w:val="28"/>
          <w:u w:val="single"/>
        </w:rPr>
        <w:t xml:space="preserve"> 叁 </w:t>
      </w:r>
      <w:r>
        <w:rPr>
          <w:rFonts w:hint="eastAsia"/>
          <w:sz w:val="28"/>
          <w:szCs w:val="28"/>
        </w:rPr>
        <w:t>份，具有同等法律效力，双方签字盖章后生效。</w:t>
      </w:r>
    </w:p>
    <w:p>
      <w:pPr>
        <w:spacing w:line="360" w:lineRule="auto"/>
        <w:ind w:firstLine="480"/>
        <w:rPr>
          <w:rFonts w:hint="eastAsia"/>
          <w:sz w:val="28"/>
          <w:szCs w:val="28"/>
        </w:rPr>
      </w:pPr>
    </w:p>
    <w:p>
      <w:pPr>
        <w:spacing w:line="360" w:lineRule="auto"/>
        <w:ind w:firstLine="480"/>
        <w:rPr>
          <w:rFonts w:hint="eastAsia"/>
          <w:sz w:val="28"/>
          <w:szCs w:val="28"/>
        </w:rPr>
      </w:pPr>
    </w:p>
    <w:p>
      <w:pPr>
        <w:spacing w:line="360" w:lineRule="auto"/>
        <w:rPr>
          <w:rFonts w:hint="eastAsia"/>
          <w:sz w:val="28"/>
          <w:szCs w:val="28"/>
        </w:rPr>
      </w:pPr>
    </w:p>
    <w:p>
      <w:pPr>
        <w:snapToGrid w:val="0"/>
        <w:spacing w:line="360" w:lineRule="auto"/>
        <w:jc w:val="left"/>
        <w:rPr>
          <w:rFonts w:hint="eastAsia" w:ascii="宋体" w:hAnsi="宋体"/>
          <w:sz w:val="28"/>
          <w:szCs w:val="28"/>
        </w:rPr>
      </w:pPr>
      <w:r>
        <w:rPr>
          <w:rFonts w:hint="eastAsia" w:ascii="宋体" w:hAnsi="宋体"/>
          <w:sz w:val="28"/>
          <w:szCs w:val="28"/>
        </w:rPr>
        <w:t>甲方（盖章）：</w:t>
      </w:r>
      <w:r>
        <w:rPr>
          <w:rFonts w:hint="eastAsia" w:ascii="宋体" w:hAnsi="宋体"/>
          <w:sz w:val="28"/>
          <w:szCs w:val="28"/>
          <w:lang w:val="en-US" w:eastAsia="zh-CN"/>
        </w:rPr>
        <w:t xml:space="preserve">          </w:t>
      </w:r>
      <w:r>
        <w:rPr>
          <w:rFonts w:hint="eastAsia" w:ascii="宋体" w:hAnsi="宋体"/>
          <w:sz w:val="28"/>
          <w:szCs w:val="28"/>
        </w:rPr>
        <w:t>　　　　乙方（盖章）：</w:t>
      </w:r>
      <w:r>
        <w:rPr>
          <w:rFonts w:hint="eastAsia" w:ascii="宋体" w:hAnsi="宋体"/>
          <w:sz w:val="28"/>
          <w:szCs w:val="28"/>
          <w:lang w:val="en-US" w:eastAsia="zh-CN"/>
        </w:rPr>
        <w:t xml:space="preserve"> </w:t>
      </w:r>
      <w:r>
        <w:rPr>
          <w:rFonts w:hint="eastAsia" w:ascii="宋体" w:hAnsi="宋体"/>
          <w:sz w:val="28"/>
          <w:szCs w:val="28"/>
        </w:rPr>
        <w:t>　　　　　　　</w:t>
      </w:r>
      <w:r>
        <w:rPr>
          <w:rFonts w:hint="eastAsia" w:ascii="宋体" w:hAnsi="宋体"/>
          <w:sz w:val="28"/>
          <w:szCs w:val="28"/>
        </w:rPr>
        <w:br w:type="textWrapping"/>
      </w:r>
      <w:r>
        <w:rPr>
          <w:rFonts w:hint="eastAsia" w:ascii="宋体" w:hAnsi="宋体"/>
          <w:sz w:val="28"/>
          <w:szCs w:val="28"/>
          <w:lang w:val="en-US" w:eastAsia="zh-CN"/>
        </w:rPr>
        <w:t>法定代表人</w:t>
      </w:r>
      <w:r>
        <w:rPr>
          <w:rFonts w:hint="eastAsia" w:ascii="宋体" w:hAnsi="宋体"/>
          <w:sz w:val="28"/>
          <w:szCs w:val="28"/>
        </w:rPr>
        <w:t>（签字）：</w:t>
      </w:r>
      <w:r>
        <w:rPr>
          <w:rFonts w:hint="eastAsia" w:ascii="宋体" w:hAnsi="宋体"/>
          <w:sz w:val="28"/>
          <w:szCs w:val="28"/>
          <w:lang w:val="en-US" w:eastAsia="zh-CN"/>
        </w:rPr>
        <w:t xml:space="preserve"> </w:t>
      </w:r>
      <w:r>
        <w:rPr>
          <w:rFonts w:hint="eastAsia" w:ascii="宋体" w:hAnsi="宋体"/>
          <w:sz w:val="28"/>
          <w:szCs w:val="28"/>
        </w:rPr>
        <w:t>　　　　　</w:t>
      </w:r>
      <w:r>
        <w:rPr>
          <w:rFonts w:hint="eastAsia" w:ascii="宋体" w:hAnsi="宋体"/>
          <w:sz w:val="28"/>
          <w:szCs w:val="28"/>
          <w:lang w:val="en-US" w:eastAsia="zh-CN"/>
        </w:rPr>
        <w:t xml:space="preserve"> 法定代表人</w:t>
      </w:r>
      <w:r>
        <w:rPr>
          <w:rFonts w:hint="eastAsia" w:ascii="宋体" w:hAnsi="宋体"/>
          <w:sz w:val="28"/>
          <w:szCs w:val="28"/>
        </w:rPr>
        <w:t>（签字）：</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签订时间</w:t>
      </w:r>
      <w:r>
        <w:rPr>
          <w:rFonts w:hint="eastAsia" w:ascii="宋体" w:hAnsi="宋体"/>
          <w:sz w:val="28"/>
          <w:szCs w:val="28"/>
        </w:rPr>
        <w:t xml:space="preserve">：                      </w:t>
      </w:r>
      <w:r>
        <w:rPr>
          <w:rFonts w:hint="eastAsia" w:ascii="宋体" w:hAnsi="宋体"/>
          <w:sz w:val="28"/>
          <w:szCs w:val="28"/>
          <w:lang w:val="en-US" w:eastAsia="zh-CN"/>
        </w:rPr>
        <w:t>签订时间</w:t>
      </w:r>
      <w:r>
        <w:rPr>
          <w:rFonts w:hint="eastAsia" w:ascii="宋体" w:hAnsi="宋体"/>
          <w:sz w:val="28"/>
          <w:szCs w:val="28"/>
        </w:rPr>
        <w:t>：</w:t>
      </w:r>
    </w:p>
    <w:p>
      <w:r>
        <w:rPr>
          <w:rFonts w:hint="eastAsia" w:ascii="宋体" w:hAnsi="宋体"/>
          <w:sz w:val="28"/>
          <w:szCs w:val="28"/>
        </w:rPr>
        <w:t>_________年____月____日　　　　　_________年____月____日　</w:t>
      </w:r>
    </w:p>
    <w:p/>
    <w:p/>
    <w:p/>
    <w:p/>
    <w:p/>
    <w:p/>
    <w:p/>
    <w:p/>
    <w:p/>
    <w:p/>
    <w:p/>
    <w:p/>
    <w:p/>
    <w:p/>
    <w:p>
      <w:pPr>
        <w:rPr>
          <w:rFonts w:hint="eastAsia" w:ascii="宋体" w:hAnsi="宋体" w:cs="宋体"/>
          <w:bCs/>
          <w:sz w:val="32"/>
          <w:szCs w:val="32"/>
        </w:rPr>
      </w:pPr>
      <w:r>
        <w:rPr>
          <w:rFonts w:hint="eastAsia" w:ascii="宋体" w:hAnsi="宋体" w:cs="宋体"/>
          <w:bCs/>
          <w:sz w:val="32"/>
          <w:szCs w:val="32"/>
        </w:rPr>
        <w:t>附件</w:t>
      </w:r>
      <w:r>
        <w:rPr>
          <w:rFonts w:hint="eastAsia" w:ascii="宋体" w:hAnsi="宋体" w:cs="宋体"/>
          <w:bCs/>
          <w:sz w:val="32"/>
          <w:szCs w:val="32"/>
          <w:lang w:val="en-US" w:eastAsia="zh-CN"/>
        </w:rPr>
        <w:t>1：</w:t>
      </w:r>
      <w:r>
        <w:rPr>
          <w:rFonts w:hint="eastAsia" w:ascii="宋体" w:hAnsi="宋体" w:cs="宋体"/>
          <w:bCs/>
          <w:sz w:val="32"/>
          <w:szCs w:val="32"/>
        </w:rPr>
        <w:t>现场确认单</w:t>
      </w:r>
    </w:p>
    <w:p>
      <w:pPr>
        <w:rPr>
          <w:rFonts w:hint="eastAsia" w:ascii="宋体" w:hAnsi="宋体" w:cs="宋体"/>
          <w:bCs/>
          <w:sz w:val="32"/>
          <w:szCs w:val="32"/>
        </w:rPr>
      </w:pPr>
    </w:p>
    <w:tbl>
      <w:tblPr>
        <w:tblStyle w:val="8"/>
        <w:tblpPr w:leftFromText="180" w:rightFromText="180" w:vertAnchor="page" w:horzAnchor="page" w:tblpX="1088" w:tblpY="2488"/>
        <w:tblW w:w="10008" w:type="dxa"/>
        <w:tblInd w:w="0" w:type="dxa"/>
        <w:tblLayout w:type="fixed"/>
        <w:tblCellMar>
          <w:top w:w="0" w:type="dxa"/>
          <w:left w:w="108" w:type="dxa"/>
          <w:bottom w:w="0" w:type="dxa"/>
          <w:right w:w="108" w:type="dxa"/>
        </w:tblCellMar>
      </w:tblPr>
      <w:tblGrid>
        <w:gridCol w:w="1668"/>
        <w:gridCol w:w="1701"/>
        <w:gridCol w:w="454"/>
        <w:gridCol w:w="1688"/>
        <w:gridCol w:w="1005"/>
        <w:gridCol w:w="800"/>
        <w:gridCol w:w="892"/>
        <w:gridCol w:w="1800"/>
      </w:tblGrid>
      <w:tr>
        <w:tblPrEx>
          <w:tblLayout w:type="fixed"/>
          <w:tblCellMar>
            <w:top w:w="0" w:type="dxa"/>
            <w:left w:w="108" w:type="dxa"/>
            <w:bottom w:w="0" w:type="dxa"/>
            <w:right w:w="108" w:type="dxa"/>
          </w:tblCellMar>
        </w:tblPrEx>
        <w:trPr>
          <w:trHeight w:val="525" w:hRule="atLeast"/>
        </w:trPr>
        <w:tc>
          <w:tcPr>
            <w:tcW w:w="16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bCs/>
                <w:kern w:val="0"/>
                <w:sz w:val="20"/>
                <w:szCs w:val="20"/>
              </w:rPr>
            </w:pPr>
            <w:r>
              <w:rPr>
                <w:rFonts w:hint="eastAsia" w:ascii="微软雅黑" w:hAnsi="微软雅黑" w:eastAsia="微软雅黑" w:cs="宋体"/>
                <w:bCs/>
                <w:kern w:val="0"/>
                <w:sz w:val="20"/>
                <w:szCs w:val="20"/>
              </w:rPr>
              <w:t>　服务单号：</w:t>
            </w:r>
          </w:p>
        </w:tc>
        <w:tc>
          <w:tcPr>
            <w:tcW w:w="3843" w:type="dxa"/>
            <w:gridSpan w:val="3"/>
            <w:tcBorders>
              <w:top w:val="single" w:color="auto" w:sz="4" w:space="0"/>
              <w:left w:val="nil"/>
              <w:bottom w:val="single" w:color="auto" w:sz="4" w:space="0"/>
              <w:right w:val="single" w:color="auto" w:sz="4" w:space="0"/>
            </w:tcBorders>
            <w:vAlign w:val="center"/>
          </w:tcPr>
          <w:p>
            <w:pPr>
              <w:widowControl/>
              <w:rPr>
                <w:rFonts w:ascii="微软雅黑" w:hAnsi="微软雅黑" w:eastAsia="微软雅黑" w:cs="宋体"/>
                <w:bCs/>
                <w:kern w:val="0"/>
                <w:sz w:val="20"/>
                <w:szCs w:val="20"/>
              </w:rPr>
            </w:pPr>
          </w:p>
        </w:tc>
        <w:tc>
          <w:tcPr>
            <w:tcW w:w="1805" w:type="dxa"/>
            <w:gridSpan w:val="2"/>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Cs/>
                <w:kern w:val="0"/>
                <w:sz w:val="20"/>
                <w:szCs w:val="20"/>
              </w:rPr>
            </w:pPr>
            <w:r>
              <w:rPr>
                <w:rFonts w:hint="eastAsia" w:ascii="微软雅黑" w:hAnsi="微软雅黑" w:eastAsia="微软雅黑" w:cs="宋体"/>
                <w:bCs/>
                <w:kern w:val="0"/>
                <w:sz w:val="20"/>
                <w:szCs w:val="20"/>
              </w:rPr>
              <w:t>　　服务时间：</w:t>
            </w:r>
          </w:p>
        </w:tc>
        <w:tc>
          <w:tcPr>
            <w:tcW w:w="2692" w:type="dxa"/>
            <w:gridSpan w:val="2"/>
            <w:tcBorders>
              <w:top w:val="single" w:color="auto" w:sz="4" w:space="0"/>
              <w:left w:val="nil"/>
              <w:bottom w:val="single" w:color="auto" w:sz="4" w:space="0"/>
              <w:right w:val="single" w:color="auto" w:sz="4" w:space="0"/>
            </w:tcBorders>
            <w:vAlign w:val="center"/>
          </w:tcPr>
          <w:p>
            <w:pPr>
              <w:widowControl/>
              <w:rPr>
                <w:rFonts w:ascii="微软雅黑" w:hAnsi="微软雅黑" w:eastAsia="微软雅黑" w:cs="宋体"/>
                <w:b/>
                <w:bCs/>
                <w:kern w:val="0"/>
                <w:sz w:val="20"/>
                <w:szCs w:val="20"/>
              </w:rPr>
            </w:pPr>
          </w:p>
        </w:tc>
      </w:tr>
      <w:tr>
        <w:tblPrEx>
          <w:tblLayout w:type="fixed"/>
          <w:tblCellMar>
            <w:top w:w="0" w:type="dxa"/>
            <w:left w:w="108" w:type="dxa"/>
            <w:bottom w:w="0" w:type="dxa"/>
            <w:right w:w="108" w:type="dxa"/>
          </w:tblCellMar>
        </w:tblPrEx>
        <w:trPr>
          <w:trHeight w:val="510" w:hRule="atLeast"/>
        </w:trPr>
        <w:tc>
          <w:tcPr>
            <w:tcW w:w="16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bCs/>
                <w:color w:val="000000"/>
                <w:kern w:val="0"/>
                <w:sz w:val="20"/>
                <w:szCs w:val="20"/>
              </w:rPr>
            </w:pPr>
            <w:r>
              <w:rPr>
                <w:rFonts w:hint="eastAsia" w:ascii="微软雅黑" w:hAnsi="微软雅黑" w:eastAsia="微软雅黑" w:cs="宋体"/>
                <w:bCs/>
                <w:color w:val="000000"/>
                <w:kern w:val="0"/>
                <w:sz w:val="20"/>
                <w:szCs w:val="20"/>
              </w:rPr>
              <w:t>　用户名称：</w:t>
            </w:r>
          </w:p>
        </w:tc>
        <w:tc>
          <w:tcPr>
            <w:tcW w:w="3843" w:type="dxa"/>
            <w:gridSpan w:val="3"/>
            <w:tcBorders>
              <w:top w:val="nil"/>
              <w:left w:val="nil"/>
              <w:bottom w:val="single" w:color="auto" w:sz="4" w:space="0"/>
              <w:right w:val="single" w:color="auto" w:sz="4" w:space="0"/>
            </w:tcBorders>
            <w:vAlign w:val="center"/>
          </w:tcPr>
          <w:p>
            <w:pPr>
              <w:widowControl/>
              <w:rPr>
                <w:rFonts w:ascii="微软雅黑" w:hAnsi="微软雅黑" w:eastAsia="微软雅黑" w:cs="宋体"/>
                <w:bCs/>
                <w:color w:val="000000"/>
                <w:kern w:val="0"/>
                <w:sz w:val="20"/>
                <w:szCs w:val="20"/>
              </w:rPr>
            </w:pPr>
          </w:p>
        </w:tc>
        <w:tc>
          <w:tcPr>
            <w:tcW w:w="1805" w:type="dxa"/>
            <w:gridSpan w:val="2"/>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Cs/>
                <w:color w:val="000000"/>
                <w:kern w:val="0"/>
                <w:sz w:val="20"/>
                <w:szCs w:val="20"/>
              </w:rPr>
            </w:pPr>
            <w:r>
              <w:rPr>
                <w:rFonts w:hint="eastAsia" w:ascii="微软雅黑" w:hAnsi="微软雅黑" w:eastAsia="微软雅黑" w:cs="宋体"/>
                <w:bCs/>
                <w:color w:val="000000"/>
                <w:kern w:val="0"/>
                <w:sz w:val="20"/>
                <w:szCs w:val="20"/>
              </w:rPr>
              <w:t>　　设备型号：</w:t>
            </w:r>
          </w:p>
        </w:tc>
        <w:tc>
          <w:tcPr>
            <w:tcW w:w="2692" w:type="dxa"/>
            <w:gridSpan w:val="2"/>
            <w:tcBorders>
              <w:top w:val="nil"/>
              <w:left w:val="nil"/>
              <w:bottom w:val="single" w:color="auto" w:sz="4" w:space="0"/>
              <w:right w:val="single" w:color="auto" w:sz="4" w:space="0"/>
            </w:tcBorders>
            <w:vAlign w:val="center"/>
          </w:tcPr>
          <w:p>
            <w:pPr>
              <w:widowControl/>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495" w:hRule="atLeast"/>
        </w:trPr>
        <w:tc>
          <w:tcPr>
            <w:tcW w:w="16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bCs/>
                <w:color w:val="000000"/>
                <w:kern w:val="0"/>
                <w:sz w:val="20"/>
                <w:szCs w:val="20"/>
              </w:rPr>
            </w:pPr>
            <w:r>
              <w:rPr>
                <w:rFonts w:hint="eastAsia" w:ascii="微软雅黑" w:hAnsi="微软雅黑" w:eastAsia="微软雅黑" w:cs="宋体"/>
                <w:bCs/>
                <w:color w:val="000000"/>
                <w:kern w:val="0"/>
                <w:sz w:val="20"/>
                <w:szCs w:val="20"/>
              </w:rPr>
              <w:t>　单位地址：</w:t>
            </w:r>
            <w:r>
              <w:rPr>
                <w:rFonts w:ascii="微软雅黑" w:hAnsi="微软雅黑" w:eastAsia="微软雅黑" w:cs="宋体"/>
                <w:bCs/>
                <w:color w:val="000000"/>
                <w:kern w:val="0"/>
                <w:sz w:val="20"/>
                <w:szCs w:val="20"/>
              </w:rPr>
              <w:t xml:space="preserve"> </w:t>
            </w:r>
          </w:p>
        </w:tc>
        <w:tc>
          <w:tcPr>
            <w:tcW w:w="3843" w:type="dxa"/>
            <w:gridSpan w:val="3"/>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宋体"/>
                <w:bCs/>
                <w:color w:val="000000"/>
                <w:kern w:val="0"/>
                <w:sz w:val="20"/>
                <w:szCs w:val="20"/>
              </w:rPr>
            </w:pPr>
          </w:p>
        </w:tc>
        <w:tc>
          <w:tcPr>
            <w:tcW w:w="18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bCs/>
                <w:color w:val="000000"/>
                <w:kern w:val="0"/>
                <w:sz w:val="20"/>
                <w:szCs w:val="20"/>
              </w:rPr>
            </w:pPr>
            <w:r>
              <w:rPr>
                <w:rFonts w:hint="eastAsia" w:ascii="微软雅黑" w:hAnsi="微软雅黑" w:eastAsia="微软雅黑" w:cs="宋体"/>
                <w:bCs/>
                <w:color w:val="000000"/>
                <w:kern w:val="0"/>
                <w:sz w:val="20"/>
                <w:szCs w:val="20"/>
              </w:rPr>
              <w:t>　服务派遣人：</w:t>
            </w:r>
          </w:p>
        </w:tc>
        <w:tc>
          <w:tcPr>
            <w:tcW w:w="2692" w:type="dxa"/>
            <w:gridSpan w:val="2"/>
            <w:tcBorders>
              <w:top w:val="single" w:color="auto" w:sz="4" w:space="0"/>
              <w:left w:val="single" w:color="auto" w:sz="4" w:space="0"/>
              <w:bottom w:val="single" w:color="auto" w:sz="4" w:space="0"/>
              <w:right w:val="single" w:color="000000" w:sz="4" w:space="0"/>
            </w:tcBorders>
            <w:vAlign w:val="center"/>
          </w:tcPr>
          <w:p>
            <w:pPr>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1837" w:hRule="atLeast"/>
        </w:trPr>
        <w:tc>
          <w:tcPr>
            <w:tcW w:w="1668" w:type="dxa"/>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宋体"/>
                <w:bCs/>
                <w:color w:val="000000"/>
                <w:kern w:val="0"/>
                <w:sz w:val="20"/>
                <w:szCs w:val="20"/>
              </w:rPr>
            </w:pPr>
            <w:r>
              <w:rPr>
                <w:rFonts w:hint="eastAsia" w:ascii="微软雅黑" w:hAnsi="微软雅黑" w:eastAsia="微软雅黑" w:cs="宋体"/>
                <w:bCs/>
                <w:color w:val="000000"/>
                <w:kern w:val="0"/>
                <w:sz w:val="20"/>
                <w:szCs w:val="20"/>
              </w:rPr>
              <w:t>现场故障分析：</w:t>
            </w:r>
          </w:p>
        </w:tc>
        <w:tc>
          <w:tcPr>
            <w:tcW w:w="8340" w:type="dxa"/>
            <w:gridSpan w:val="7"/>
            <w:tcBorders>
              <w:top w:val="single" w:color="auto" w:sz="4" w:space="0"/>
              <w:left w:val="nil"/>
              <w:bottom w:val="single" w:color="auto" w:sz="4" w:space="0"/>
              <w:right w:val="single" w:color="auto" w:sz="4" w:space="0"/>
            </w:tcBorders>
            <w:vAlign w:val="center"/>
          </w:tcPr>
          <w:p>
            <w:pPr>
              <w:widowControl/>
              <w:rPr>
                <w:rFonts w:ascii="微软雅黑" w:hAnsi="微软雅黑" w:eastAsia="微软雅黑" w:cs="宋体"/>
                <w:bCs/>
                <w:color w:val="000000"/>
                <w:kern w:val="0"/>
                <w:sz w:val="20"/>
                <w:szCs w:val="20"/>
              </w:rPr>
            </w:pPr>
          </w:p>
        </w:tc>
      </w:tr>
      <w:tr>
        <w:tblPrEx>
          <w:tblLayout w:type="fixed"/>
          <w:tblCellMar>
            <w:top w:w="0" w:type="dxa"/>
            <w:left w:w="108" w:type="dxa"/>
            <w:bottom w:w="0" w:type="dxa"/>
            <w:right w:w="108" w:type="dxa"/>
          </w:tblCellMar>
        </w:tblPrEx>
        <w:trPr>
          <w:trHeight w:val="2054" w:hRule="atLeast"/>
        </w:trPr>
        <w:tc>
          <w:tcPr>
            <w:tcW w:w="1668" w:type="dxa"/>
            <w:tcBorders>
              <w:top w:val="single" w:color="auto" w:sz="4" w:space="0"/>
              <w:left w:val="single" w:color="auto" w:sz="4" w:space="0"/>
              <w:bottom w:val="single" w:color="auto" w:sz="4" w:space="0"/>
              <w:right w:val="single" w:color="auto" w:sz="4" w:space="0"/>
            </w:tcBorders>
            <w:vAlign w:val="center"/>
          </w:tcPr>
          <w:p>
            <w:pPr>
              <w:widowControl/>
              <w:rPr>
                <w:rFonts w:ascii="微软雅黑" w:hAnsi="微软雅黑" w:eastAsia="微软雅黑" w:cs="宋体"/>
                <w:bCs/>
                <w:color w:val="000000"/>
                <w:kern w:val="0"/>
                <w:sz w:val="20"/>
                <w:szCs w:val="20"/>
              </w:rPr>
            </w:pPr>
            <w:r>
              <w:rPr>
                <w:rFonts w:hint="eastAsia" w:ascii="微软雅黑" w:hAnsi="微软雅黑" w:eastAsia="微软雅黑" w:cs="宋体"/>
                <w:bCs/>
                <w:color w:val="000000"/>
                <w:kern w:val="0"/>
                <w:sz w:val="20"/>
                <w:szCs w:val="20"/>
              </w:rPr>
              <w:t>故障处理描述：</w:t>
            </w:r>
          </w:p>
        </w:tc>
        <w:tc>
          <w:tcPr>
            <w:tcW w:w="8340" w:type="dxa"/>
            <w:gridSpan w:val="7"/>
            <w:tcBorders>
              <w:top w:val="single" w:color="auto" w:sz="4" w:space="0"/>
              <w:left w:val="nil"/>
              <w:bottom w:val="single" w:color="auto" w:sz="4" w:space="0"/>
              <w:right w:val="single" w:color="auto" w:sz="4" w:space="0"/>
            </w:tcBorders>
            <w:vAlign w:val="center"/>
          </w:tcPr>
          <w:p>
            <w:pPr>
              <w:jc w:val="left"/>
              <w:rPr>
                <w:sz w:val="20"/>
                <w:szCs w:val="20"/>
              </w:rPr>
            </w:pPr>
          </w:p>
          <w:p>
            <w:pPr>
              <w:jc w:val="left"/>
              <w:rPr>
                <w:rFonts w:ascii="微软雅黑" w:hAnsi="微软雅黑" w:eastAsia="微软雅黑" w:cs="宋体"/>
                <w:bCs/>
                <w:kern w:val="0"/>
                <w:sz w:val="20"/>
                <w:szCs w:val="20"/>
              </w:rPr>
            </w:pPr>
          </w:p>
        </w:tc>
      </w:tr>
      <w:tr>
        <w:tblPrEx>
          <w:tblLayout w:type="fixed"/>
          <w:tblCellMar>
            <w:top w:w="0" w:type="dxa"/>
            <w:left w:w="108" w:type="dxa"/>
            <w:bottom w:w="0" w:type="dxa"/>
            <w:right w:w="108" w:type="dxa"/>
          </w:tblCellMar>
        </w:tblPrEx>
        <w:trPr>
          <w:trHeight w:val="570" w:hRule="atLeast"/>
        </w:trPr>
        <w:tc>
          <w:tcPr>
            <w:tcW w:w="1668" w:type="dxa"/>
            <w:vMerge w:val="restart"/>
            <w:tcBorders>
              <w:top w:val="single" w:color="auto" w:sz="4" w:space="0"/>
              <w:left w:val="single" w:color="auto" w:sz="4" w:space="0"/>
              <w:right w:val="single" w:color="auto" w:sz="4" w:space="0"/>
            </w:tcBorders>
            <w:textDirection w:val="tbRlV"/>
            <w:vAlign w:val="center"/>
          </w:tcPr>
          <w:p>
            <w:pPr>
              <w:widowControl/>
              <w:spacing w:line="360" w:lineRule="auto"/>
              <w:ind w:left="113" w:right="113"/>
              <w:jc w:val="center"/>
              <w:rPr>
                <w:rFonts w:ascii="微软雅黑" w:hAnsi="微软雅黑" w:eastAsia="微软雅黑" w:cs="宋体"/>
                <w:bCs/>
                <w:kern w:val="0"/>
                <w:sz w:val="20"/>
                <w:szCs w:val="20"/>
              </w:rPr>
            </w:pPr>
            <w:r>
              <w:rPr>
                <w:rFonts w:hint="eastAsia" w:ascii="微软雅黑" w:hAnsi="微软雅黑" w:eastAsia="微软雅黑" w:cs="宋体"/>
                <w:bCs/>
                <w:spacing w:val="240"/>
                <w:kern w:val="0"/>
                <w:sz w:val="20"/>
                <w:szCs w:val="20"/>
              </w:rPr>
              <w:t>用户填</w:t>
            </w:r>
            <w:r>
              <w:rPr>
                <w:rFonts w:hint="eastAsia" w:ascii="微软雅黑" w:hAnsi="微软雅黑" w:eastAsia="微软雅黑" w:cs="宋体"/>
                <w:bCs/>
                <w:kern w:val="0"/>
                <w:sz w:val="20"/>
                <w:szCs w:val="20"/>
              </w:rPr>
              <w:t>写</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Cs/>
                <w:kern w:val="0"/>
                <w:sz w:val="20"/>
                <w:szCs w:val="20"/>
              </w:rPr>
            </w:pPr>
            <w:r>
              <w:rPr>
                <w:rFonts w:hint="eastAsia" w:ascii="微软雅黑" w:hAnsi="微软雅黑" w:eastAsia="微软雅黑" w:cs="宋体"/>
                <w:bCs/>
                <w:kern w:val="0"/>
                <w:sz w:val="20"/>
                <w:szCs w:val="20"/>
              </w:rPr>
              <w:t>　　服务评价：</w:t>
            </w:r>
          </w:p>
        </w:tc>
        <w:tc>
          <w:tcPr>
            <w:tcW w:w="6639" w:type="dxa"/>
            <w:gridSpan w:val="6"/>
            <w:tcBorders>
              <w:top w:val="single" w:color="auto" w:sz="4" w:space="0"/>
              <w:left w:val="single" w:color="auto" w:sz="4" w:space="0"/>
              <w:bottom w:val="single" w:color="auto" w:sz="4" w:space="0"/>
              <w:right w:val="single" w:color="000000" w:sz="4" w:space="0"/>
            </w:tcBorders>
            <w:vAlign w:val="center"/>
          </w:tcPr>
          <w:p>
            <w:pPr>
              <w:ind w:firstLine="300" w:firstLineChars="150"/>
              <w:rPr>
                <w:rFonts w:ascii="微软雅黑" w:hAnsi="微软雅黑" w:eastAsia="微软雅黑" w:cs="宋体"/>
                <w:bCs/>
                <w:kern w:val="0"/>
                <w:sz w:val="20"/>
                <w:szCs w:val="20"/>
              </w:rPr>
            </w:pPr>
            <w:r>
              <w:rPr>
                <w:rFonts w:hint="eastAsia" w:ascii="微软雅黑" w:hAnsi="微软雅黑" w:eastAsia="微软雅黑" w:cs="宋体"/>
                <w:bCs/>
                <w:kern w:val="0"/>
                <w:sz w:val="20"/>
                <w:szCs w:val="20"/>
              </w:rPr>
              <w:t xml:space="preserve">非常满意       满意          一般           差 </w:t>
            </w:r>
          </w:p>
        </w:tc>
      </w:tr>
      <w:tr>
        <w:tblPrEx>
          <w:tblLayout w:type="fixed"/>
          <w:tblCellMar>
            <w:top w:w="0" w:type="dxa"/>
            <w:left w:w="108" w:type="dxa"/>
            <w:bottom w:w="0" w:type="dxa"/>
            <w:right w:w="108" w:type="dxa"/>
          </w:tblCellMar>
        </w:tblPrEx>
        <w:trPr>
          <w:trHeight w:val="570" w:hRule="atLeast"/>
        </w:trPr>
        <w:tc>
          <w:tcPr>
            <w:tcW w:w="1668" w:type="dxa"/>
            <w:vMerge w:val="continue"/>
            <w:tcBorders>
              <w:left w:val="single" w:color="auto" w:sz="4" w:space="0"/>
              <w:right w:val="single" w:color="auto" w:sz="4" w:space="0"/>
            </w:tcBorders>
            <w:vAlign w:val="center"/>
          </w:tcPr>
          <w:p>
            <w:pPr>
              <w:widowControl/>
              <w:jc w:val="center"/>
              <w:rPr>
                <w:rFonts w:ascii="微软雅黑" w:hAnsi="微软雅黑" w:eastAsia="微软雅黑" w:cs="宋体"/>
                <w:bCs/>
                <w:color w:val="000000"/>
                <w:kern w:val="0"/>
                <w:sz w:val="20"/>
                <w:szCs w:val="20"/>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微软雅黑" w:hAnsi="微软雅黑" w:eastAsia="微软雅黑" w:cs="宋体"/>
                <w:bCs/>
                <w:color w:val="000000"/>
                <w:kern w:val="0"/>
                <w:sz w:val="20"/>
                <w:szCs w:val="20"/>
              </w:rPr>
              <w:t>　　解决问题：</w:t>
            </w:r>
          </w:p>
        </w:tc>
        <w:tc>
          <w:tcPr>
            <w:tcW w:w="6639" w:type="dxa"/>
            <w:gridSpan w:val="6"/>
            <w:tcBorders>
              <w:top w:val="single" w:color="auto" w:sz="4" w:space="0"/>
              <w:left w:val="single" w:color="auto" w:sz="4" w:space="0"/>
              <w:bottom w:val="single" w:color="auto" w:sz="4" w:space="0"/>
              <w:right w:val="single" w:color="000000" w:sz="4" w:space="0"/>
            </w:tcBorders>
            <w:vAlign w:val="center"/>
          </w:tcPr>
          <w:p>
            <w:pPr>
              <w:ind w:left="166" w:leftChars="79" w:firstLine="200" w:firstLineChars="100"/>
              <w:jc w:val="left"/>
              <w:rPr>
                <w:rFonts w:ascii="宋体" w:hAnsi="宋体" w:cs="宋体"/>
                <w:bCs/>
                <w:kern w:val="0"/>
                <w:sz w:val="20"/>
                <w:szCs w:val="20"/>
              </w:rPr>
            </w:pPr>
            <w:r>
              <w:rPr>
                <w:rFonts w:hint="eastAsia" w:ascii="宋体" w:hAnsi="宋体" w:cs="宋体"/>
                <w:bCs/>
                <w:kern w:val="0"/>
                <w:sz w:val="20"/>
                <w:szCs w:val="20"/>
              </w:rPr>
              <w:t>□　　　□　　　□　　　□</w:t>
            </w:r>
          </w:p>
        </w:tc>
      </w:tr>
      <w:tr>
        <w:tblPrEx>
          <w:tblLayout w:type="fixed"/>
          <w:tblCellMar>
            <w:top w:w="0" w:type="dxa"/>
            <w:left w:w="108" w:type="dxa"/>
            <w:bottom w:w="0" w:type="dxa"/>
            <w:right w:w="108" w:type="dxa"/>
          </w:tblCellMar>
        </w:tblPrEx>
        <w:trPr>
          <w:trHeight w:val="570" w:hRule="atLeast"/>
        </w:trPr>
        <w:tc>
          <w:tcPr>
            <w:tcW w:w="1668" w:type="dxa"/>
            <w:vMerge w:val="continue"/>
            <w:tcBorders>
              <w:left w:val="single" w:color="auto" w:sz="4" w:space="0"/>
              <w:right w:val="single" w:color="auto" w:sz="4" w:space="0"/>
            </w:tcBorders>
            <w:vAlign w:val="center"/>
          </w:tcPr>
          <w:p>
            <w:pPr>
              <w:widowControl/>
              <w:jc w:val="center"/>
              <w:rPr>
                <w:rFonts w:ascii="微软雅黑" w:hAnsi="微软雅黑" w:eastAsia="微软雅黑" w:cs="宋体"/>
                <w:bCs/>
                <w:color w:val="000000"/>
                <w:kern w:val="0"/>
                <w:sz w:val="20"/>
                <w:szCs w:val="20"/>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微软雅黑" w:hAnsi="微软雅黑" w:eastAsia="微软雅黑" w:cs="宋体"/>
                <w:bCs/>
                <w:color w:val="000000"/>
                <w:kern w:val="0"/>
                <w:sz w:val="20"/>
                <w:szCs w:val="20"/>
              </w:rPr>
              <w:t>　　</w:t>
            </w:r>
            <w:r>
              <w:rPr>
                <w:rFonts w:hint="eastAsia" w:ascii="微软雅黑" w:hAnsi="微软雅黑" w:eastAsia="微软雅黑" w:cs="宋体"/>
                <w:bCs/>
                <w:kern w:val="0"/>
                <w:sz w:val="20"/>
                <w:szCs w:val="20"/>
              </w:rPr>
              <w:t>服务态度：</w:t>
            </w:r>
          </w:p>
        </w:tc>
        <w:tc>
          <w:tcPr>
            <w:tcW w:w="6639" w:type="dxa"/>
            <w:gridSpan w:val="6"/>
            <w:tcBorders>
              <w:top w:val="single" w:color="auto" w:sz="4" w:space="0"/>
              <w:left w:val="single" w:color="auto" w:sz="4" w:space="0"/>
              <w:bottom w:val="single" w:color="auto" w:sz="4" w:space="0"/>
              <w:right w:val="single" w:color="000000" w:sz="4" w:space="0"/>
            </w:tcBorders>
            <w:vAlign w:val="center"/>
          </w:tcPr>
          <w:p>
            <w:pPr>
              <w:ind w:left="166" w:leftChars="79" w:firstLine="200" w:firstLineChars="100"/>
              <w:jc w:val="left"/>
              <w:rPr>
                <w:rFonts w:ascii="宋体" w:hAnsi="宋体" w:cs="宋体"/>
                <w:bCs/>
                <w:kern w:val="0"/>
                <w:sz w:val="20"/>
                <w:szCs w:val="20"/>
              </w:rPr>
            </w:pPr>
            <w:r>
              <w:rPr>
                <w:rFonts w:hint="eastAsia" w:ascii="宋体" w:hAnsi="宋体" w:cs="宋体"/>
                <w:bCs/>
                <w:kern w:val="0"/>
                <w:sz w:val="20"/>
                <w:szCs w:val="20"/>
              </w:rPr>
              <w:t>□　　　□　　　□　　　□</w:t>
            </w:r>
          </w:p>
        </w:tc>
      </w:tr>
      <w:tr>
        <w:tblPrEx>
          <w:tblLayout w:type="fixed"/>
          <w:tblCellMar>
            <w:top w:w="0" w:type="dxa"/>
            <w:left w:w="108" w:type="dxa"/>
            <w:bottom w:w="0" w:type="dxa"/>
            <w:right w:w="108" w:type="dxa"/>
          </w:tblCellMar>
        </w:tblPrEx>
        <w:trPr>
          <w:trHeight w:val="570" w:hRule="atLeast"/>
        </w:trPr>
        <w:tc>
          <w:tcPr>
            <w:tcW w:w="1668" w:type="dxa"/>
            <w:vMerge w:val="continue"/>
            <w:tcBorders>
              <w:left w:val="single" w:color="auto" w:sz="4" w:space="0"/>
              <w:right w:val="single" w:color="auto" w:sz="4" w:space="0"/>
            </w:tcBorders>
            <w:vAlign w:val="center"/>
          </w:tcPr>
          <w:p>
            <w:pPr>
              <w:widowControl/>
              <w:jc w:val="center"/>
              <w:rPr>
                <w:rFonts w:ascii="微软雅黑" w:hAnsi="微软雅黑" w:eastAsia="微软雅黑" w:cs="宋体"/>
                <w:bCs/>
                <w:kern w:val="0"/>
                <w:sz w:val="20"/>
                <w:szCs w:val="20"/>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微软雅黑" w:hAnsi="微软雅黑" w:eastAsia="微软雅黑" w:cs="宋体"/>
                <w:bCs/>
                <w:kern w:val="0"/>
                <w:sz w:val="20"/>
                <w:szCs w:val="20"/>
              </w:rPr>
              <w:t>服务</w:t>
            </w:r>
            <w:r>
              <w:rPr>
                <w:rFonts w:ascii="微软雅黑" w:hAnsi="微软雅黑" w:eastAsia="微软雅黑" w:cs="宋体"/>
                <w:bCs/>
                <w:kern w:val="0"/>
                <w:sz w:val="20"/>
                <w:szCs w:val="20"/>
              </w:rPr>
              <w:t>工</w:t>
            </w:r>
            <w:r>
              <w:rPr>
                <w:rFonts w:hint="eastAsia" w:ascii="微软雅黑" w:hAnsi="微软雅黑" w:eastAsia="微软雅黑" w:cs="宋体"/>
                <w:bCs/>
                <w:kern w:val="0"/>
                <w:sz w:val="20"/>
                <w:szCs w:val="20"/>
              </w:rPr>
              <w:t>作</w:t>
            </w:r>
            <w:r>
              <w:rPr>
                <w:rFonts w:ascii="微软雅黑" w:hAnsi="微软雅黑" w:eastAsia="微软雅黑" w:cs="宋体"/>
                <w:bCs/>
                <w:kern w:val="0"/>
                <w:sz w:val="20"/>
                <w:szCs w:val="20"/>
              </w:rPr>
              <w:t>量</w:t>
            </w:r>
            <w:r>
              <w:rPr>
                <w:rFonts w:hint="eastAsia" w:ascii="微软雅黑" w:hAnsi="微软雅黑" w:eastAsia="微软雅黑" w:cs="宋体"/>
                <w:bCs/>
                <w:kern w:val="0"/>
                <w:sz w:val="20"/>
                <w:szCs w:val="20"/>
              </w:rPr>
              <w:t xml:space="preserve"> :　</w:t>
            </w:r>
          </w:p>
        </w:tc>
        <w:tc>
          <w:tcPr>
            <w:tcW w:w="6639" w:type="dxa"/>
            <w:gridSpan w:val="6"/>
            <w:tcBorders>
              <w:top w:val="single" w:color="auto" w:sz="4" w:space="0"/>
              <w:left w:val="single" w:color="auto" w:sz="4" w:space="0"/>
              <w:bottom w:val="single" w:color="auto" w:sz="4" w:space="0"/>
              <w:right w:val="single" w:color="000000" w:sz="4" w:space="0"/>
            </w:tcBorders>
            <w:vAlign w:val="center"/>
          </w:tcPr>
          <w:p>
            <w:pPr>
              <w:ind w:left="166" w:leftChars="79" w:firstLine="200" w:firstLineChars="100"/>
              <w:jc w:val="left"/>
              <w:rPr>
                <w:rFonts w:ascii="宋体" w:hAnsi="宋体" w:cs="宋体"/>
                <w:bCs/>
                <w:kern w:val="0"/>
                <w:sz w:val="20"/>
                <w:szCs w:val="20"/>
              </w:rPr>
            </w:pPr>
          </w:p>
        </w:tc>
      </w:tr>
      <w:tr>
        <w:tblPrEx>
          <w:tblLayout w:type="fixed"/>
          <w:tblCellMar>
            <w:top w:w="0" w:type="dxa"/>
            <w:left w:w="108" w:type="dxa"/>
            <w:bottom w:w="0" w:type="dxa"/>
            <w:right w:w="108" w:type="dxa"/>
          </w:tblCellMar>
        </w:tblPrEx>
        <w:trPr>
          <w:trHeight w:val="953" w:hRule="atLeast"/>
        </w:trPr>
        <w:tc>
          <w:tcPr>
            <w:tcW w:w="1668" w:type="dxa"/>
            <w:vMerge w:val="continue"/>
            <w:tcBorders>
              <w:left w:val="single" w:color="auto" w:sz="4" w:space="0"/>
              <w:right w:val="single" w:color="auto" w:sz="4" w:space="0"/>
            </w:tcBorders>
            <w:vAlign w:val="center"/>
          </w:tcPr>
          <w:p>
            <w:pPr>
              <w:widowControl/>
              <w:jc w:val="left"/>
              <w:rPr>
                <w:rFonts w:ascii="微软雅黑" w:hAnsi="微软雅黑" w:eastAsia="微软雅黑" w:cs="宋体"/>
                <w:bCs/>
                <w:kern w:val="0"/>
                <w:sz w:val="20"/>
                <w:szCs w:val="20"/>
              </w:rPr>
            </w:pPr>
          </w:p>
        </w:tc>
        <w:tc>
          <w:tcPr>
            <w:tcW w:w="8340" w:type="dxa"/>
            <w:gridSpan w:val="7"/>
            <w:tcBorders>
              <w:top w:val="single" w:color="auto" w:sz="4" w:space="0"/>
              <w:left w:val="single" w:color="auto" w:sz="4" w:space="0"/>
              <w:bottom w:val="single" w:color="auto" w:sz="4" w:space="0"/>
              <w:right w:val="single" w:color="000000" w:sz="4" w:space="0"/>
            </w:tcBorders>
            <w:vAlign w:val="top"/>
          </w:tcPr>
          <w:p>
            <w:pPr>
              <w:widowControl/>
              <w:rPr>
                <w:rFonts w:ascii="微软雅黑" w:hAnsi="微软雅黑" w:eastAsia="微软雅黑" w:cs="宋体"/>
                <w:bCs/>
                <w:color w:val="404040"/>
                <w:kern w:val="0"/>
                <w:sz w:val="20"/>
                <w:szCs w:val="20"/>
              </w:rPr>
            </w:pPr>
            <w:r>
              <w:rPr>
                <w:rFonts w:hint="eastAsia" w:ascii="微软雅黑" w:hAnsi="微软雅黑" w:eastAsia="微软雅黑" w:cs="宋体"/>
                <w:bCs/>
                <w:color w:val="404040"/>
                <w:kern w:val="0"/>
                <w:sz w:val="20"/>
                <w:szCs w:val="20"/>
              </w:rPr>
              <w:t>其它意见或建议：</w:t>
            </w:r>
          </w:p>
        </w:tc>
      </w:tr>
      <w:tr>
        <w:tblPrEx>
          <w:tblLayout w:type="fixed"/>
          <w:tblCellMar>
            <w:top w:w="0" w:type="dxa"/>
            <w:left w:w="108" w:type="dxa"/>
            <w:bottom w:w="0" w:type="dxa"/>
            <w:right w:w="108" w:type="dxa"/>
          </w:tblCellMar>
        </w:tblPrEx>
        <w:trPr>
          <w:trHeight w:val="852" w:hRule="atLeast"/>
        </w:trPr>
        <w:tc>
          <w:tcPr>
            <w:tcW w:w="1668" w:type="dxa"/>
            <w:vMerge w:val="continue"/>
            <w:tcBorders>
              <w:left w:val="single" w:color="auto" w:sz="4" w:space="0"/>
              <w:right w:val="single" w:color="auto" w:sz="4" w:space="0"/>
            </w:tcBorders>
            <w:vAlign w:val="center"/>
          </w:tcPr>
          <w:p>
            <w:pPr>
              <w:widowControl/>
              <w:jc w:val="center"/>
              <w:rPr>
                <w:rFonts w:ascii="微软雅黑" w:hAnsi="微软雅黑" w:eastAsia="微软雅黑" w:cs="宋体"/>
                <w:bCs/>
                <w:kern w:val="0"/>
                <w:sz w:val="20"/>
                <w:szCs w:val="20"/>
              </w:rPr>
            </w:pPr>
          </w:p>
        </w:tc>
        <w:tc>
          <w:tcPr>
            <w:tcW w:w="2155" w:type="dxa"/>
            <w:gridSpan w:val="2"/>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Cs/>
                <w:kern w:val="0"/>
                <w:sz w:val="20"/>
                <w:szCs w:val="20"/>
              </w:rPr>
            </w:pPr>
            <w:r>
              <w:rPr>
                <w:rFonts w:hint="eastAsia" w:ascii="微软雅黑" w:hAnsi="微软雅黑" w:eastAsia="微软雅黑" w:cs="宋体"/>
                <w:bCs/>
                <w:kern w:val="0"/>
                <w:sz w:val="20"/>
                <w:szCs w:val="20"/>
              </w:rPr>
              <w:t>单位负责人（签字及盖章）：</w:t>
            </w:r>
          </w:p>
        </w:tc>
        <w:tc>
          <w:tcPr>
            <w:tcW w:w="2693" w:type="dxa"/>
            <w:gridSpan w:val="2"/>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Cs/>
                <w:kern w:val="0"/>
                <w:sz w:val="20"/>
                <w:szCs w:val="20"/>
              </w:rPr>
            </w:pPr>
          </w:p>
        </w:tc>
        <w:tc>
          <w:tcPr>
            <w:tcW w:w="169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r>
              <w:rPr>
                <w:rFonts w:hint="eastAsia" w:ascii="微软雅黑" w:hAnsi="微软雅黑" w:eastAsia="微软雅黑" w:cs="宋体"/>
                <w:bCs/>
                <w:kern w:val="0"/>
                <w:sz w:val="20"/>
                <w:szCs w:val="20"/>
              </w:rPr>
              <w:t>联系电话：</w:t>
            </w:r>
          </w:p>
        </w:tc>
        <w:tc>
          <w:tcPr>
            <w:tcW w:w="1800"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r>
      <w:tr>
        <w:tblPrEx>
          <w:tblLayout w:type="fixed"/>
          <w:tblCellMar>
            <w:top w:w="0" w:type="dxa"/>
            <w:left w:w="108" w:type="dxa"/>
            <w:bottom w:w="0" w:type="dxa"/>
            <w:right w:w="108" w:type="dxa"/>
          </w:tblCellMar>
        </w:tblPrEx>
        <w:trPr>
          <w:trHeight w:val="870" w:hRule="atLeast"/>
        </w:trPr>
        <w:tc>
          <w:tcPr>
            <w:tcW w:w="1668" w:type="dxa"/>
            <w:vMerge w:val="continue"/>
            <w:tcBorders>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bCs/>
                <w:kern w:val="0"/>
                <w:sz w:val="20"/>
                <w:szCs w:val="20"/>
              </w:rPr>
            </w:pPr>
          </w:p>
        </w:tc>
        <w:tc>
          <w:tcPr>
            <w:tcW w:w="21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Cs/>
                <w:kern w:val="0"/>
                <w:sz w:val="20"/>
                <w:szCs w:val="20"/>
              </w:rPr>
            </w:pPr>
            <w:r>
              <w:rPr>
                <w:rFonts w:hint="eastAsia" w:ascii="微软雅黑" w:hAnsi="微软雅黑" w:eastAsia="微软雅黑" w:cs="宋体"/>
                <w:bCs/>
                <w:kern w:val="0"/>
                <w:sz w:val="20"/>
                <w:szCs w:val="20"/>
              </w:rPr>
              <w:t>现场负责人：</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Cs/>
                <w:kern w:val="0"/>
                <w:sz w:val="20"/>
                <w:szCs w:val="20"/>
              </w:rPr>
            </w:pPr>
          </w:p>
        </w:tc>
        <w:tc>
          <w:tcPr>
            <w:tcW w:w="1692" w:type="dxa"/>
            <w:gridSpan w:val="2"/>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bCs/>
                <w:kern w:val="0"/>
                <w:sz w:val="20"/>
                <w:szCs w:val="20"/>
              </w:rPr>
            </w:pPr>
            <w:r>
              <w:rPr>
                <w:rFonts w:hint="eastAsia" w:ascii="微软雅黑" w:hAnsi="微软雅黑" w:eastAsia="微软雅黑" w:cs="宋体"/>
                <w:bCs/>
                <w:kern w:val="0"/>
                <w:sz w:val="20"/>
                <w:szCs w:val="20"/>
              </w:rPr>
              <w:t>技术负责人：</w:t>
            </w:r>
          </w:p>
        </w:tc>
        <w:tc>
          <w:tcPr>
            <w:tcW w:w="1800" w:type="dxa"/>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简体">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w:panose1 w:val="020B0604020202020204"/>
    <w:charset w:val="86"/>
    <w:family w:val="swiss"/>
    <w:pitch w:val="default"/>
    <w:sig w:usb0="E0002EFF" w:usb1="C000785B" w:usb2="00000009" w:usb3="00000000" w:csb0="400001FF" w:csb1="FFFF0000"/>
  </w:font>
  <w:font w:name="CG Times">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隶变_GBK">
    <w:altName w:val="宋体"/>
    <w:panose1 w:val="02000000000000000000"/>
    <w:charset w:val="86"/>
    <w:family w:val="auto"/>
    <w:pitch w:val="default"/>
    <w:sig w:usb0="00000000" w:usb1="00000000" w:usb2="00000016"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ËÎÌå">
    <w:altName w:val="Arial"/>
    <w:panose1 w:val="00000000000000000000"/>
    <w:charset w:val="00"/>
    <w:family w:val="swiss"/>
    <w:pitch w:val="default"/>
    <w:sig w:usb0="00000000" w:usb1="00000000" w:usb2="00000000" w:usb3="00000000" w:csb0="00000001" w:csb1="00000000"/>
  </w:font>
  <w:font w:name="隶书">
    <w:altName w:val="宋体"/>
    <w:panose1 w:val="0201050906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Minion Pro Med">
    <w:altName w:val="Segoe Print"/>
    <w:panose1 w:val="02040503050306020203"/>
    <w:charset w:val="00"/>
    <w:family w:val="auto"/>
    <w:pitch w:val="default"/>
    <w:sig w:usb0="00000000" w:usb1="00000000" w:usb2="00000000" w:usb3="00000000" w:csb0="2000019F" w:csb1="00000000"/>
  </w:font>
  <w:font w:name="GulimChe">
    <w:altName w:val="Malgun Gothic"/>
    <w:panose1 w:val="020B0609000101010101"/>
    <w:charset w:val="81"/>
    <w:family w:val="auto"/>
    <w:pitch w:val="default"/>
    <w:sig w:usb0="00000000" w:usb1="00000000" w:usb2="00000030" w:usb3="00000000" w:csb0="4008009F" w:csb1="DFD70000"/>
  </w:font>
  <w:font w:name="Calibri Light">
    <w:panose1 w:val="020F0302020204030204"/>
    <w:charset w:val="00"/>
    <w:family w:val="swiss"/>
    <w:pitch w:val="default"/>
    <w:sig w:usb0="E0002AFF" w:usb1="C000247B" w:usb2="00000009" w:usb3="00000000" w:csb0="200001FF" w:csb1="00000000"/>
  </w:font>
  <w:font w:name="TT54AB0ED3tCID">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Adobe 仿宋 Std R">
    <w:altName w:val="仿宋"/>
    <w:panose1 w:val="02020400000000000000"/>
    <w:charset w:val="86"/>
    <w:family w:val="auto"/>
    <w:pitch w:val="default"/>
    <w:sig w:usb0="00000000" w:usb1="00000000" w:usb2="00000016" w:usb3="00000000" w:csb0="00060007" w:csb1="00000000"/>
  </w:font>
  <w:font w:name="Plotter">
    <w:altName w:val="Times New Roman"/>
    <w:panose1 w:val="00000000000000000000"/>
    <w:charset w:val="00"/>
    <w:family w:val="auto"/>
    <w:pitch w:val="default"/>
    <w:sig w:usb0="00000000" w:usb1="00000000" w:usb2="00000000" w:usb3="00000000" w:csb0="00000001" w:csb1="00000000"/>
  </w:font>
  <w:font w:name="EU-F1">
    <w:altName w:val="宋体"/>
    <w:panose1 w:val="00000000000000000000"/>
    <w:charset w:val="86"/>
    <w:family w:val="auto"/>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9ABE0"/>
    <w:multiLevelType w:val="singleLevel"/>
    <w:tmpl w:val="5BA9AB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F77AF"/>
    <w:rsid w:val="01183869"/>
    <w:rsid w:val="032549C2"/>
    <w:rsid w:val="10561CCA"/>
    <w:rsid w:val="13CC0277"/>
    <w:rsid w:val="2BDB022E"/>
    <w:rsid w:val="41C23574"/>
    <w:rsid w:val="42C37CA6"/>
    <w:rsid w:val="4C6830BB"/>
    <w:rsid w:val="4ECF662D"/>
    <w:rsid w:val="60795CB0"/>
    <w:rsid w:val="6A260C88"/>
    <w:rsid w:val="7BAF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黑体"/>
      <w:b/>
      <w:kern w:val="44"/>
      <w:sz w:val="36"/>
      <w:szCs w:val="20"/>
    </w:rPr>
  </w:style>
  <w:style w:type="paragraph" w:styleId="3">
    <w:name w:val="heading 2"/>
    <w:basedOn w:val="1"/>
    <w:next w:val="4"/>
    <w:unhideWhenUsed/>
    <w:qFormat/>
    <w:uiPriority w:val="0"/>
    <w:pPr>
      <w:keepNext/>
      <w:keepLines/>
      <w:widowControl w:val="0"/>
      <w:spacing w:before="260" w:after="260" w:line="415" w:lineRule="auto"/>
      <w:jc w:val="center"/>
      <w:outlineLvl w:val="1"/>
    </w:pPr>
    <w:rPr>
      <w:rFonts w:ascii="CG Times" w:hAnsi="CG Times"/>
      <w:b/>
      <w:kern w:val="2"/>
      <w:sz w:val="30"/>
      <w:szCs w:val="20"/>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heme="minorHAnsi" w:hAnsiTheme="minorHAnsi" w:cstheme="minorBidi"/>
      <w:kern w:val="2"/>
      <w:sz w:val="21"/>
      <w:szCs w:val="22"/>
    </w:rPr>
  </w:style>
  <w:style w:type="paragraph" w:styleId="5">
    <w:name w:val="footer"/>
    <w:basedOn w:val="1"/>
    <w:qFormat/>
    <w:uiPriority w:val="0"/>
    <w:pPr>
      <w:tabs>
        <w:tab w:val="center" w:pos="4153"/>
        <w:tab w:val="right" w:pos="8306"/>
      </w:tabs>
      <w:snapToGrid w:val="0"/>
    </w:pPr>
    <w:rPr>
      <w:sz w:val="18"/>
      <w:szCs w:val="18"/>
    </w:rPr>
  </w:style>
  <w:style w:type="character" w:styleId="7">
    <w:name w:val="page number"/>
    <w:basedOn w:val="6"/>
    <w:qFormat/>
    <w:uiPriority w:val="0"/>
    <w:rPr>
      <w:rFonts w:cs="Times New Roman"/>
    </w:rPr>
  </w:style>
  <w:style w:type="character" w:customStyle="1" w:styleId="9">
    <w:name w:val="font11"/>
    <w:basedOn w:val="6"/>
    <w:qFormat/>
    <w:uiPriority w:val="0"/>
    <w:rPr>
      <w:rFonts w:hint="default" w:ascii="Times New Roman" w:hAnsi="Times New Roman" w:cs="Times New Roman"/>
      <w:color w:val="000000"/>
      <w:sz w:val="21"/>
      <w:szCs w:val="21"/>
      <w:u w:val="none"/>
    </w:rPr>
  </w:style>
  <w:style w:type="character" w:customStyle="1" w:styleId="10">
    <w:name w:val="font21"/>
    <w:basedOn w:val="6"/>
    <w:qFormat/>
    <w:uiPriority w:val="0"/>
    <w:rPr>
      <w:rFonts w:hint="eastAsia" w:ascii="宋体" w:hAnsi="宋体" w:eastAsia="宋体" w:cs="宋体"/>
      <w:color w:val="000000"/>
      <w:sz w:val="21"/>
      <w:szCs w:val="21"/>
      <w:u w:val="none"/>
    </w:rPr>
  </w:style>
  <w:style w:type="character" w:customStyle="1" w:styleId="11">
    <w:name w:val="font01"/>
    <w:basedOn w:val="6"/>
    <w:qFormat/>
    <w:uiPriority w:val="0"/>
    <w:rPr>
      <w:rFonts w:hint="eastAsia" w:ascii="宋体" w:hAnsi="宋体" w:eastAsia="宋体" w:cs="宋体"/>
      <w:b/>
      <w:color w:val="000000"/>
      <w:sz w:val="28"/>
      <w:szCs w:val="28"/>
      <w:u w:val="none"/>
    </w:rPr>
  </w:style>
  <w:style w:type="paragraph" w:customStyle="1" w:styleId="12">
    <w:name w:val="cucd-3"/>
    <w:next w:val="1"/>
    <w:qFormat/>
    <w:uiPriority w:val="0"/>
    <w:pPr>
      <w:widowControl w:val="0"/>
      <w:tabs>
        <w:tab w:val="left" w:pos="1637"/>
      </w:tabs>
      <w:jc w:val="center"/>
    </w:pPr>
    <w:rPr>
      <w:rFonts w:cs="Times New Roman" w:asciiTheme="minorEastAsia" w:hAnsiTheme="minorEastAsia" w:eastAsiaTheme="minorEastAsia"/>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2018-03-16T06:22:00Z</dcterms:created>
  <dc:creator>lenovo</dc:creator>
  <cp:lastModifiedBy>lenovo</cp:lastModifiedBy>
  <dcterms:modified xsi:type="dcterms:W3CDTF">2018-10-22T01:31:36Z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