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AD4CF">
      <w:pPr>
        <w:jc w:val="center"/>
        <w:rPr>
          <w:rFonts w:hint="eastAsia" w:eastAsia="宋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eastAsia="宋体"/>
          <w:b/>
          <w:bCs/>
          <w:sz w:val="36"/>
          <w:szCs w:val="36"/>
          <w:lang w:val="en-US" w:eastAsia="zh-CN"/>
        </w:rPr>
        <w:t>关于</w:t>
      </w:r>
      <w:r>
        <w:rPr>
          <w:rFonts w:hint="eastAsia"/>
          <w:b/>
          <w:bCs/>
          <w:sz w:val="36"/>
          <w:szCs w:val="36"/>
        </w:rPr>
        <w:t>福建省东南电化股份有限公司 2025年-2027年技改及重大检修项目</w:t>
      </w:r>
      <w:r>
        <w:rPr>
          <w:rFonts w:hint="eastAsia" w:eastAsia="宋体"/>
          <w:b/>
          <w:bCs/>
          <w:sz w:val="36"/>
          <w:szCs w:val="36"/>
          <w:lang w:val="en-US" w:eastAsia="zh-CN"/>
        </w:rPr>
        <w:t>的澄清公告</w:t>
      </w:r>
    </w:p>
    <w:p w14:paraId="7F4BAAE5">
      <w:pPr>
        <w:rPr>
          <w:rFonts w:hint="eastAsia" w:eastAsia="宋体"/>
          <w:lang w:val="en-US" w:eastAsia="zh-CN"/>
        </w:rPr>
      </w:pPr>
    </w:p>
    <w:p w14:paraId="01180253">
      <w:pPr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  <w:lang w:val="en-US" w:eastAsia="zh-CN"/>
        </w:rPr>
        <w:t>各潜在参选人：​</w:t>
      </w:r>
    </w:p>
    <w:p w14:paraId="0B012F55">
      <w:pPr>
        <w:ind w:firstLine="560" w:firstLineChars="200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  <w:lang w:val="en-US" w:eastAsia="zh-CN"/>
        </w:rPr>
        <w:t>我司前期发布的“福建省东南电化股份有限公司 2025年- 2027年技改及重大检修项目”比选资料中，部分内容存在需进一步明确与调整的情形。具体调整情况如下：</w:t>
      </w:r>
    </w:p>
    <w:tbl>
      <w:tblPr>
        <w:tblStyle w:val="3"/>
        <w:tblW w:w="88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575"/>
        <w:gridCol w:w="4232"/>
        <w:gridCol w:w="4032"/>
      </w:tblGrid>
      <w:tr w14:paraId="689AE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vAlign w:val="center"/>
          </w:tcPr>
          <w:p w14:paraId="3A1B3962">
            <w:pPr>
              <w:jc w:val="center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变更项</w:t>
            </w:r>
          </w:p>
        </w:tc>
        <w:tc>
          <w:tcPr>
            <w:tcW w:w="0" w:type="auto"/>
            <w:vAlign w:val="center"/>
          </w:tcPr>
          <w:p w14:paraId="1DCEBD80">
            <w:pPr>
              <w:jc w:val="center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旧版</w:t>
            </w:r>
          </w:p>
        </w:tc>
        <w:tc>
          <w:tcPr>
            <w:tcW w:w="4032" w:type="dxa"/>
            <w:vAlign w:val="center"/>
          </w:tcPr>
          <w:p w14:paraId="0EBE35F7">
            <w:pPr>
              <w:jc w:val="center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更正版</w:t>
            </w:r>
          </w:p>
        </w:tc>
      </w:tr>
      <w:tr w14:paraId="68FAE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244" w:hRule="atLeast"/>
        </w:trPr>
        <w:tc>
          <w:tcPr>
            <w:tcW w:w="0" w:type="auto"/>
            <w:vAlign w:val="center"/>
          </w:tcPr>
          <w:p w14:paraId="6A37BA20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资质</w:t>
            </w:r>
          </w:p>
        </w:tc>
        <w:tc>
          <w:tcPr>
            <w:tcW w:w="0" w:type="auto"/>
            <w:vAlign w:val="center"/>
          </w:tcPr>
          <w:p w14:paraId="158B4824">
            <w:pPr>
              <w:spacing w:line="460" w:lineRule="exact"/>
              <w:ind w:left="240" w:hanging="240" w:hangingChars="100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投标人应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  <w:t>具备建设行政主管颁发的有效的机电工程安装总承包二级以上资质，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spacing w:val="8"/>
                <w:sz w:val="24"/>
                <w:szCs w:val="24"/>
              </w:rPr>
              <w:t>具备GC1压力管道安装资质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spacing w:val="8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spacing w:val="8"/>
                <w:sz w:val="24"/>
                <w:szCs w:val="24"/>
                <w:lang w:val="en-US" w:eastAsia="zh-CN"/>
              </w:rPr>
              <w:t>1级压力容器安装改造维修许可资格，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  <w:t>持有建设行政主管部门颁发的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安全生产许可证。</w:t>
            </w:r>
          </w:p>
        </w:tc>
        <w:tc>
          <w:tcPr>
            <w:tcW w:w="4032" w:type="dxa"/>
            <w:vAlign w:val="center"/>
          </w:tcPr>
          <w:p w14:paraId="1C3C120C">
            <w:pPr>
              <w:spacing w:line="460" w:lineRule="exact"/>
              <w:ind w:left="240" w:hanging="240" w:hangingChars="1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投标人应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  <w:t>具备建设行政主管颁发的有效的机电工程安装总承包二级以上资质，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spacing w:val="8"/>
                <w:sz w:val="24"/>
                <w:szCs w:val="24"/>
              </w:rPr>
              <w:t>具备GC1压力管道安装资质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spacing w:val="8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  <w:t>持有建设行政主管部门颁发的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安全生产许可证。</w:t>
            </w:r>
          </w:p>
          <w:p w14:paraId="617D8D00">
            <w:pPr>
              <w:spacing w:line="460" w:lineRule="exact"/>
              <w:ind w:left="240" w:hanging="240" w:hangingChars="1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（注：删除 “1 级压力容器安装改造维修许可资格” 要求）。</w:t>
            </w:r>
          </w:p>
          <w:p w14:paraId="2DDE5736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F871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31" w:hRule="atLeast"/>
        </w:trPr>
        <w:tc>
          <w:tcPr>
            <w:tcW w:w="0" w:type="auto"/>
            <w:vAlign w:val="center"/>
          </w:tcPr>
          <w:p w14:paraId="2B50B687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业务范围</w:t>
            </w:r>
          </w:p>
        </w:tc>
        <w:tc>
          <w:tcPr>
            <w:tcW w:w="0" w:type="auto"/>
            <w:shd w:val="clear"/>
            <w:vAlign w:val="center"/>
          </w:tcPr>
          <w:p w14:paraId="660A87A7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烧碱车间、公用工程车间、设备管理部、QHSE部、厂前区、生活区。</w:t>
            </w:r>
          </w:p>
        </w:tc>
        <w:tc>
          <w:tcPr>
            <w:tcW w:w="4032" w:type="dxa"/>
            <w:shd w:val="clear"/>
            <w:vAlign w:val="center"/>
          </w:tcPr>
          <w:p w14:paraId="19BA29B8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烧碱车间、公用工程车间、设备管理部、QHSE部、热电车间、厂前区、生活区（注：新增 “热电车间” 相关业务）</w:t>
            </w:r>
          </w:p>
        </w:tc>
      </w:tr>
    </w:tbl>
    <w:p w14:paraId="0D8B4018">
      <w:pPr>
        <w:ind w:firstLine="480" w:firstLineChars="200"/>
        <w:rPr>
          <w:rFonts w:hint="default" w:eastAsia="宋体"/>
          <w:sz w:val="24"/>
          <w:szCs w:val="24"/>
          <w:lang w:val="en-US" w:eastAsia="zh-CN"/>
        </w:rPr>
      </w:pPr>
    </w:p>
    <w:p w14:paraId="19F246A4">
      <w:pPr>
        <w:ind w:firstLine="482" w:firstLineChars="200"/>
        <w:rPr>
          <w:rFonts w:hint="eastAsia" w:eastAsia="宋体"/>
          <w:b/>
          <w:bCs/>
          <w:sz w:val="24"/>
          <w:szCs w:val="24"/>
          <w:lang w:val="en-US" w:eastAsia="zh-CN"/>
        </w:rPr>
      </w:pPr>
      <w:r>
        <w:rPr>
          <w:rFonts w:hint="eastAsia" w:eastAsia="宋体"/>
          <w:b/>
          <w:bCs/>
          <w:sz w:val="24"/>
          <w:szCs w:val="24"/>
          <w:lang w:val="en-US" w:eastAsia="zh-CN"/>
        </w:rPr>
        <w:t>其他说明：​</w:t>
      </w:r>
    </w:p>
    <w:p w14:paraId="7754CE2E">
      <w:pPr>
        <w:ind w:firstLine="480" w:firstLineChars="200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>1、本澄清公告内容为原比选文件的组成部分，与原比选文件具有同等法律效力；原比选文件内容与本澄清公告不一致的，以本澄清公告为准。​</w:t>
      </w:r>
    </w:p>
    <w:p w14:paraId="40401E72">
      <w:pPr>
        <w:ind w:firstLine="480" w:firstLineChars="200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>2、本次澄清更正后的完整比选文件（最新版）相关材料，详见本公告附件。请各潜在参选人及时下载查阅，确保基于最新文件内容参与比选工作。​</w:t>
      </w:r>
    </w:p>
    <w:p w14:paraId="0949C97A">
      <w:pPr>
        <w:ind w:firstLine="480" w:firstLineChars="200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>3、若对本次澄清内容或最新版比选文件存在疑问，可通过以下方式咨询：</w:t>
      </w:r>
    </w:p>
    <w:p w14:paraId="130A827B">
      <w:pPr>
        <w:ind w:firstLine="480" w:firstLineChars="200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>联系人：李女士​联系电话：18150770326​</w:t>
      </w:r>
    </w:p>
    <w:p w14:paraId="4DAECACC">
      <w:pPr>
        <w:ind w:firstLine="480" w:firstLineChars="200"/>
        <w:rPr>
          <w:rFonts w:hint="eastAsia" w:eastAsia="宋体"/>
          <w:sz w:val="24"/>
          <w:szCs w:val="24"/>
          <w:lang w:val="en-US" w:eastAsia="zh-CN"/>
        </w:rPr>
      </w:pPr>
    </w:p>
    <w:p w14:paraId="34376C9F">
      <w:pPr>
        <w:ind w:firstLine="480" w:firstLineChars="200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>特此公告。​</w:t>
      </w:r>
    </w:p>
    <w:p w14:paraId="58DCE47B">
      <w:pPr>
        <w:ind w:firstLine="480" w:firstLineChars="200"/>
        <w:jc w:val="both"/>
        <w:rPr>
          <w:rFonts w:hint="eastAsia" w:eastAsia="宋体"/>
          <w:sz w:val="24"/>
          <w:szCs w:val="24"/>
          <w:lang w:val="en-US" w:eastAsia="zh-CN"/>
        </w:rPr>
      </w:pPr>
    </w:p>
    <w:p w14:paraId="095D3999">
      <w:pPr>
        <w:ind w:firstLine="480" w:firstLineChars="200"/>
        <w:rPr>
          <w:rFonts w:hint="eastAsia" w:eastAsia="宋体"/>
          <w:sz w:val="24"/>
          <w:szCs w:val="24"/>
          <w:lang w:val="en-US" w:eastAsia="zh-CN"/>
        </w:rPr>
      </w:pPr>
    </w:p>
    <w:p w14:paraId="1DBA2A0E">
      <w:pPr>
        <w:rPr>
          <w:rFonts w:hint="eastAsia" w:eastAsia="宋体"/>
          <w:sz w:val="24"/>
          <w:szCs w:val="24"/>
          <w:lang w:val="en-US" w:eastAsia="zh-CN"/>
        </w:rPr>
      </w:pPr>
    </w:p>
    <w:p w14:paraId="32E1C653">
      <w:pPr>
        <w:ind w:firstLine="480" w:firstLineChars="200"/>
        <w:jc w:val="right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>福建省东南电化股份有限公司</w:t>
      </w:r>
    </w:p>
    <w:p w14:paraId="727CD961">
      <w:pPr>
        <w:wordWrap w:val="0"/>
        <w:ind w:firstLine="480" w:firstLineChars="200"/>
        <w:jc w:val="right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 xml:space="preserve">供销部        </w:t>
      </w:r>
    </w:p>
    <w:p w14:paraId="5D1B3DCF">
      <w:pPr>
        <w:wordWrap w:val="0"/>
        <w:ind w:firstLine="480" w:firstLineChars="200"/>
        <w:jc w:val="right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 xml:space="preserve">2025年10月16日   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55593"/>
    <w:rsid w:val="3E9571B9"/>
    <w:rsid w:val="73F5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2025-10-16T06:40:00Z</dcterms:created>
  <dc:creator>李泉胜</dc:creator>
  <cp:lastModifiedBy>李泉胜</cp:lastModifiedBy>
  <dcterms:modified xsi:type="dcterms:W3CDTF">2025-10-16T07:18:41Z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42330FCC134144D6918419AE9C59F558_11</vt:lpwstr>
  </property>
  <property fmtid="{D5CDD505-2E9C-101B-9397-08002B2CF9AE}" pid="4" name="KSOTemplateDocerSaveRecord">
    <vt:lpwstr>eyJoZGlkIjoiZDg5NGU1MDQ4NTI0YmVhYzk3ZmQyMWFkYTcxYTkyYTIiLCJ1c2VySWQiOiIxNjgzMjcxODg4In0=</vt:lpwstr>
  </property>
</Properties>
</file>